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EDFB3" w14:textId="77777777" w:rsidR="00BF2700" w:rsidRDefault="00BF2700" w:rsidP="00BF2700">
      <w:bookmarkStart w:id="0" w:name="_GoBack"/>
      <w:bookmarkEnd w:id="0"/>
      <w:r>
        <w:rPr>
          <w:noProof/>
        </w:rPr>
        <w:drawing>
          <wp:inline distT="0" distB="0" distL="0" distR="0" wp14:anchorId="36D75211" wp14:editId="7D7439D4">
            <wp:extent cx="4810125" cy="885825"/>
            <wp:effectExtent l="19050" t="0" r="9525" b="0"/>
            <wp:docPr id="14" name="Picture 3" descr="sql server 2008 r2 h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l server 2008 r2 h bl"/>
                    <pic:cNvPicPr>
                      <a:picLocks noChangeAspect="1" noChangeArrowheads="1"/>
                    </pic:cNvPicPr>
                  </pic:nvPicPr>
                  <pic:blipFill>
                    <a:blip r:embed="rId12"/>
                    <a:srcRect/>
                    <a:stretch>
                      <a:fillRect/>
                    </a:stretch>
                  </pic:blipFill>
                  <pic:spPr bwMode="auto">
                    <a:xfrm>
                      <a:off x="0" y="0"/>
                      <a:ext cx="4810125" cy="885825"/>
                    </a:xfrm>
                    <a:prstGeom prst="rect">
                      <a:avLst/>
                    </a:prstGeom>
                    <a:noFill/>
                    <a:ln w="9525">
                      <a:noFill/>
                      <a:miter lim="800000"/>
                      <a:headEnd/>
                      <a:tailEnd/>
                    </a:ln>
                  </pic:spPr>
                </pic:pic>
              </a:graphicData>
            </a:graphic>
          </wp:inline>
        </w:drawing>
      </w:r>
    </w:p>
    <w:p w14:paraId="6948B9C1" w14:textId="77777777" w:rsidR="00BF2700" w:rsidRPr="00C40699" w:rsidRDefault="00BF2700" w:rsidP="00BF2700"/>
    <w:p w14:paraId="260B1840" w14:textId="77777777" w:rsidR="00BF2700" w:rsidRDefault="00BF2700" w:rsidP="00BF2700">
      <w:pPr>
        <w:rPr>
          <w:rFonts w:cs="Arial"/>
          <w:b/>
          <w:sz w:val="36"/>
          <w:szCs w:val="36"/>
        </w:rPr>
      </w:pPr>
      <w:r>
        <w:rPr>
          <w:rFonts w:cs="Arial"/>
          <w:sz w:val="36"/>
          <w:szCs w:val="36"/>
        </w:rPr>
        <w:t xml:space="preserve">Fast Track Data </w:t>
      </w:r>
      <w:r w:rsidRPr="00E64AB4">
        <w:rPr>
          <w:rFonts w:cs="Arial"/>
          <w:sz w:val="36"/>
          <w:szCs w:val="36"/>
        </w:rPr>
        <w:t>Wareh</w:t>
      </w:r>
      <w:r>
        <w:rPr>
          <w:rFonts w:cs="Arial"/>
          <w:sz w:val="36"/>
          <w:szCs w:val="36"/>
        </w:rPr>
        <w:t>ouse 3.0 Reference Guide</w:t>
      </w:r>
    </w:p>
    <w:p w14:paraId="12AE21C0" w14:textId="77777777" w:rsidR="00BF2700" w:rsidRDefault="00BF2700" w:rsidP="00BF2700">
      <w:pPr>
        <w:rPr>
          <w:rFonts w:cs="Arial"/>
        </w:rPr>
      </w:pPr>
      <w:r w:rsidRPr="00674032">
        <w:rPr>
          <w:rFonts w:cs="Arial"/>
        </w:rPr>
        <w:t>SQL Server Technical Article</w:t>
      </w:r>
    </w:p>
    <w:p w14:paraId="3D5175B4" w14:textId="77777777" w:rsidR="00BF2700" w:rsidRPr="00A072D7" w:rsidRDefault="00BF2700" w:rsidP="00BF2700">
      <w:pPr>
        <w:rPr>
          <w:rFonts w:cs="Arial"/>
          <w:sz w:val="16"/>
          <w:szCs w:val="16"/>
        </w:rPr>
      </w:pPr>
      <w:r w:rsidRPr="00A072D7">
        <w:rPr>
          <w:rFonts w:cs="Arial"/>
          <w:sz w:val="16"/>
          <w:szCs w:val="16"/>
        </w:rPr>
        <w:t>Version 3.0</w:t>
      </w:r>
      <w:r w:rsidR="002927C9">
        <w:rPr>
          <w:rFonts w:cs="Arial"/>
          <w:sz w:val="16"/>
          <w:szCs w:val="16"/>
        </w:rPr>
        <w:t>.8, Final 2/1</w:t>
      </w:r>
      <w:r>
        <w:rPr>
          <w:rFonts w:cs="Arial"/>
          <w:sz w:val="16"/>
          <w:szCs w:val="16"/>
        </w:rPr>
        <w:t>/2011</w:t>
      </w:r>
    </w:p>
    <w:p w14:paraId="791D41A5" w14:textId="77777777" w:rsidR="00BF2700" w:rsidRPr="00B51900" w:rsidRDefault="00BF2700" w:rsidP="00BF2700">
      <w:pPr>
        <w:rPr>
          <w:rFonts w:cs="Arial"/>
          <w:b/>
          <w:i/>
          <w:sz w:val="16"/>
          <w:szCs w:val="16"/>
        </w:rPr>
      </w:pPr>
      <w:r w:rsidRPr="00B51900">
        <w:rPr>
          <w:rFonts w:cs="Arial"/>
          <w:b/>
          <w:i/>
          <w:sz w:val="16"/>
          <w:szCs w:val="16"/>
        </w:rPr>
        <w:t xml:space="preserve">Writers: </w:t>
      </w:r>
      <w:r>
        <w:rPr>
          <w:rFonts w:cs="Arial"/>
          <w:b/>
          <w:i/>
          <w:sz w:val="16"/>
          <w:szCs w:val="16"/>
        </w:rPr>
        <w:t>Eric Kraemer, Mike Bassett</w:t>
      </w:r>
    </w:p>
    <w:p w14:paraId="726C4D2D" w14:textId="25F7AC8B" w:rsidR="00BF2700" w:rsidRPr="00B51900" w:rsidRDefault="00BF2700" w:rsidP="00BF2700">
      <w:pPr>
        <w:rPr>
          <w:rFonts w:cs="Arial"/>
          <w:b/>
          <w:i/>
          <w:sz w:val="16"/>
          <w:szCs w:val="16"/>
        </w:rPr>
      </w:pPr>
      <w:r w:rsidRPr="00B51900">
        <w:rPr>
          <w:rFonts w:cs="Arial"/>
          <w:b/>
          <w:i/>
          <w:sz w:val="16"/>
          <w:szCs w:val="16"/>
        </w:rPr>
        <w:t xml:space="preserve">Technical Reviewers: </w:t>
      </w:r>
      <w:r>
        <w:rPr>
          <w:rFonts w:cs="Arial"/>
          <w:b/>
          <w:i/>
          <w:sz w:val="16"/>
          <w:szCs w:val="16"/>
        </w:rPr>
        <w:t xml:space="preserve">Eric Hanson, Stuart Ozer, Umair Waheed, Mike Ruthruff, Thomas Kejser, Ashit Gosalia, Tamer Farag, Nicholas Dritsas, </w:t>
      </w:r>
      <w:r w:rsidR="00D419D2">
        <w:rPr>
          <w:rFonts w:cs="Arial"/>
          <w:b/>
          <w:i/>
          <w:sz w:val="16"/>
          <w:szCs w:val="16"/>
        </w:rPr>
        <w:t xml:space="preserve">Anjan Das, </w:t>
      </w:r>
      <w:r>
        <w:rPr>
          <w:rFonts w:cs="Arial"/>
          <w:b/>
          <w:i/>
          <w:sz w:val="16"/>
          <w:szCs w:val="16"/>
        </w:rPr>
        <w:t>Alexei Khalyako, Chris Mitchell</w:t>
      </w:r>
    </w:p>
    <w:p w14:paraId="3FD9A977" w14:textId="77777777" w:rsidR="00BF2700" w:rsidRPr="00674032" w:rsidRDefault="00BF2700" w:rsidP="00BF2700">
      <w:pPr>
        <w:rPr>
          <w:rFonts w:cs="Arial"/>
        </w:rPr>
      </w:pPr>
    </w:p>
    <w:p w14:paraId="1C470649" w14:textId="77777777" w:rsidR="00BF2700" w:rsidRPr="00A072D7" w:rsidRDefault="00BF2700" w:rsidP="00BF2700">
      <w:pPr>
        <w:rPr>
          <w:rFonts w:cs="Arial"/>
          <w:i/>
          <w:sz w:val="16"/>
          <w:szCs w:val="16"/>
        </w:rPr>
      </w:pPr>
      <w:r w:rsidRPr="00A072D7">
        <w:rPr>
          <w:rFonts w:cs="Arial"/>
          <w:i/>
          <w:sz w:val="16"/>
          <w:szCs w:val="16"/>
        </w:rPr>
        <w:t>Version 2.0</w:t>
      </w:r>
      <w:r>
        <w:rPr>
          <w:rFonts w:cs="Arial"/>
          <w:i/>
          <w:sz w:val="16"/>
          <w:szCs w:val="16"/>
        </w:rPr>
        <w:t>, Published November 2009</w:t>
      </w:r>
    </w:p>
    <w:p w14:paraId="6BC8E001" w14:textId="77777777" w:rsidR="00BF2700" w:rsidRPr="00A072D7" w:rsidRDefault="00BF2700" w:rsidP="00BF2700">
      <w:pPr>
        <w:rPr>
          <w:rFonts w:cs="Arial"/>
          <w:b/>
          <w:i/>
          <w:sz w:val="16"/>
          <w:szCs w:val="16"/>
        </w:rPr>
      </w:pPr>
      <w:r w:rsidRPr="00A072D7">
        <w:rPr>
          <w:rFonts w:cs="Arial"/>
          <w:b/>
          <w:i/>
          <w:sz w:val="16"/>
          <w:szCs w:val="16"/>
        </w:rPr>
        <w:t>Writers: Dave Salch, Eric Kraemer, Umair Waheed, Paul Dyke</w:t>
      </w:r>
    </w:p>
    <w:p w14:paraId="14467D21" w14:textId="77777777" w:rsidR="00BF2700" w:rsidRPr="00A072D7" w:rsidRDefault="00BF2700" w:rsidP="00BF2700">
      <w:pPr>
        <w:rPr>
          <w:rFonts w:cs="Arial"/>
          <w:b/>
          <w:i/>
          <w:sz w:val="16"/>
          <w:szCs w:val="16"/>
        </w:rPr>
      </w:pPr>
      <w:r w:rsidRPr="00A072D7">
        <w:rPr>
          <w:rFonts w:cs="Arial"/>
          <w:b/>
          <w:i/>
          <w:sz w:val="16"/>
          <w:szCs w:val="16"/>
        </w:rPr>
        <w:t>Technical Reviewers: Jose Blakeley, Stuart Ozer, Eric Hanson, Mark Theissen, Mike Ruthruff</w:t>
      </w:r>
    </w:p>
    <w:p w14:paraId="6F3B0AB7" w14:textId="77777777" w:rsidR="00BF2700" w:rsidRPr="00674032" w:rsidRDefault="00BF2700" w:rsidP="00BF2700">
      <w:pPr>
        <w:rPr>
          <w:rFonts w:cs="Arial"/>
        </w:rPr>
      </w:pPr>
    </w:p>
    <w:p w14:paraId="4717035E" w14:textId="77777777" w:rsidR="00BF2700" w:rsidRDefault="00BF2700" w:rsidP="00BF2700">
      <w:pPr>
        <w:rPr>
          <w:rFonts w:cs="Arial"/>
          <w:b/>
        </w:rPr>
      </w:pPr>
      <w:r w:rsidRPr="00674032">
        <w:rPr>
          <w:rFonts w:cs="Arial"/>
          <w:b/>
        </w:rPr>
        <w:t>Published:</w:t>
      </w:r>
      <w:r>
        <w:rPr>
          <w:rFonts w:cs="Arial"/>
          <w:b/>
        </w:rPr>
        <w:t xml:space="preserve"> </w:t>
      </w:r>
      <w:r w:rsidR="002927C9">
        <w:rPr>
          <w:rFonts w:cs="Arial"/>
        </w:rPr>
        <w:t>4 February 2011</w:t>
      </w:r>
    </w:p>
    <w:p w14:paraId="58E914C6" w14:textId="77777777" w:rsidR="00BF2700" w:rsidRPr="00674032" w:rsidRDefault="00BF2700" w:rsidP="00BF2700">
      <w:pPr>
        <w:rPr>
          <w:rFonts w:cs="Arial"/>
          <w:b/>
        </w:rPr>
      </w:pPr>
      <w:r>
        <w:rPr>
          <w:rFonts w:cs="Arial"/>
          <w:b/>
        </w:rPr>
        <w:t>Updated</w:t>
      </w:r>
      <w:r w:rsidRPr="00674032">
        <w:rPr>
          <w:rFonts w:cs="Arial"/>
          <w:b/>
        </w:rPr>
        <w:t>:</w:t>
      </w:r>
      <w:r>
        <w:rPr>
          <w:rFonts w:cs="Arial"/>
          <w:b/>
        </w:rPr>
        <w:t xml:space="preserve"> </w:t>
      </w:r>
      <w:r>
        <w:rPr>
          <w:rFonts w:cs="Arial"/>
        </w:rPr>
        <w:t>8 January</w:t>
      </w:r>
      <w:r w:rsidRPr="00B0173A">
        <w:rPr>
          <w:rFonts w:cs="Arial"/>
        </w:rPr>
        <w:t xml:space="preserve"> 20</w:t>
      </w:r>
      <w:r>
        <w:rPr>
          <w:rFonts w:cs="Arial"/>
        </w:rPr>
        <w:t>11</w:t>
      </w:r>
      <w:r w:rsidRPr="00674032">
        <w:rPr>
          <w:rFonts w:cs="Arial"/>
        </w:rPr>
        <w:t xml:space="preserve"> </w:t>
      </w:r>
    </w:p>
    <w:p w14:paraId="00CED1CA" w14:textId="77777777" w:rsidR="00BF2700" w:rsidRPr="00674032" w:rsidRDefault="00BF2700" w:rsidP="00BF2700">
      <w:pPr>
        <w:rPr>
          <w:rFonts w:cs="Arial"/>
        </w:rPr>
      </w:pPr>
      <w:r w:rsidRPr="00674032">
        <w:rPr>
          <w:rFonts w:cs="Arial"/>
          <w:b/>
        </w:rPr>
        <w:t>Applies to:</w:t>
      </w:r>
      <w:r w:rsidRPr="00674032">
        <w:rPr>
          <w:rFonts w:cs="Arial"/>
        </w:rPr>
        <w:t xml:space="preserve"> SQL Server 2008</w:t>
      </w:r>
      <w:r>
        <w:rPr>
          <w:rFonts w:cs="Arial"/>
        </w:rPr>
        <w:t xml:space="preserve"> R2 Enterprise </w:t>
      </w:r>
    </w:p>
    <w:p w14:paraId="1952EE67" w14:textId="77777777" w:rsidR="00BF2700" w:rsidRPr="00674032" w:rsidRDefault="00BF2700" w:rsidP="00BF2700">
      <w:pPr>
        <w:rPr>
          <w:rFonts w:cs="Arial"/>
        </w:rPr>
      </w:pPr>
    </w:p>
    <w:p w14:paraId="1D90ABDB" w14:textId="77777777" w:rsidR="00BF2700" w:rsidRPr="00674032" w:rsidRDefault="00BF2700" w:rsidP="00BF2700">
      <w:pPr>
        <w:rPr>
          <w:rFonts w:cs="Arial"/>
        </w:rPr>
      </w:pPr>
      <w:r w:rsidRPr="00674032">
        <w:rPr>
          <w:rFonts w:cs="Arial"/>
          <w:b/>
        </w:rPr>
        <w:t>Summary:</w:t>
      </w:r>
      <w:r>
        <w:rPr>
          <w:rFonts w:cs="Arial"/>
          <w:b/>
        </w:rPr>
        <w:t xml:space="preserve"> </w:t>
      </w:r>
      <w:r w:rsidRPr="00776613">
        <w:rPr>
          <w:rFonts w:cs="Arial"/>
        </w:rPr>
        <w:t xml:space="preserve">This paper </w:t>
      </w:r>
      <w:r>
        <w:rPr>
          <w:rFonts w:cs="Arial"/>
        </w:rPr>
        <w:t>defines a</w:t>
      </w:r>
      <w:r w:rsidRPr="00776613">
        <w:rPr>
          <w:rFonts w:cs="Arial"/>
        </w:rPr>
        <w:t xml:space="preserve"> reference</w:t>
      </w:r>
      <w:r>
        <w:rPr>
          <w:rFonts w:cs="Arial"/>
        </w:rPr>
        <w:t xml:space="preserve"> configuration model (known as Fast Track Data Warehouse) using an I/O balanced approach to</w:t>
      </w:r>
      <w:r w:rsidRPr="00776613">
        <w:rPr>
          <w:rFonts w:cs="Arial"/>
        </w:rPr>
        <w:t xml:space="preserve"> </w:t>
      </w:r>
      <w:r>
        <w:rPr>
          <w:rFonts w:cs="Arial"/>
        </w:rPr>
        <w:t>implementing a symmetric multiprocessor (SMP)-based</w:t>
      </w:r>
      <w:r w:rsidRPr="00776613">
        <w:rPr>
          <w:rFonts w:cs="Arial"/>
        </w:rPr>
        <w:t xml:space="preserve"> S</w:t>
      </w:r>
      <w:r>
        <w:rPr>
          <w:rFonts w:cs="Arial"/>
        </w:rPr>
        <w:t xml:space="preserve">QL Server data warehouse </w:t>
      </w:r>
      <w:r w:rsidRPr="00776613">
        <w:rPr>
          <w:rFonts w:cs="Arial"/>
        </w:rPr>
        <w:t>with proven performance and scalability expectations</w:t>
      </w:r>
      <w:r>
        <w:rPr>
          <w:rFonts w:cs="Arial"/>
        </w:rPr>
        <w:t xml:space="preserve"> for data warehouse workloads.</w:t>
      </w:r>
      <w:r w:rsidRPr="00776613">
        <w:rPr>
          <w:rFonts w:cs="Arial"/>
        </w:rPr>
        <w:t xml:space="preserve"> </w:t>
      </w:r>
      <w:r>
        <w:rPr>
          <w:rFonts w:cs="Arial"/>
        </w:rPr>
        <w:t>The goal of a Fast Track Data Warehouse reference configuration is to achieve a cost-effective balance between SQL Server data processing capability and realized component hardware throughput.</w:t>
      </w:r>
    </w:p>
    <w:p w14:paraId="521DA5A5" w14:textId="77777777" w:rsidR="00BF2700" w:rsidRPr="00674032" w:rsidRDefault="00BF2700" w:rsidP="00BF2700">
      <w:pPr>
        <w:rPr>
          <w:rFonts w:cs="Arial"/>
        </w:rPr>
      </w:pPr>
      <w:r w:rsidRPr="00674032">
        <w:rPr>
          <w:rFonts w:cs="Arial"/>
        </w:rPr>
        <w:br w:type="page"/>
      </w:r>
    </w:p>
    <w:p w14:paraId="56688C29" w14:textId="77777777" w:rsidR="00BF2700" w:rsidRPr="008C4A8C" w:rsidRDefault="00BF2700" w:rsidP="00BF2700">
      <w:pPr>
        <w:rPr>
          <w:rFonts w:cs="Arial"/>
          <w:sz w:val="36"/>
          <w:szCs w:val="36"/>
        </w:rPr>
      </w:pPr>
      <w:r w:rsidRPr="008C4A8C">
        <w:rPr>
          <w:rFonts w:cs="Arial"/>
          <w:sz w:val="36"/>
          <w:szCs w:val="36"/>
        </w:rPr>
        <w:lastRenderedPageBreak/>
        <w:t>Copyright</w:t>
      </w:r>
    </w:p>
    <w:p w14:paraId="03D5E18E" w14:textId="77777777" w:rsidR="00BF2700" w:rsidRPr="005B7B1F" w:rsidRDefault="00BF2700" w:rsidP="00BF2700">
      <w:pPr>
        <w:rPr>
          <w:rFonts w:cs="Arial"/>
        </w:rPr>
      </w:pPr>
      <w:r w:rsidRPr="005B7B1F">
        <w:rPr>
          <w:rFonts w:cs="Arial"/>
        </w:rPr>
        <w:t xml:space="preserve">This document is provided “as-is”. Information and views expressed in this document, including URL and other Internet Web site references, may change without notice. You bear the risk of using it. </w:t>
      </w:r>
    </w:p>
    <w:p w14:paraId="3F3AC433" w14:textId="77777777" w:rsidR="00BF2700" w:rsidRPr="005B7B1F" w:rsidRDefault="00BF2700" w:rsidP="00BF2700">
      <w:pPr>
        <w:rPr>
          <w:rFonts w:cs="Arial"/>
        </w:rPr>
      </w:pPr>
      <w:r w:rsidRPr="005B7B1F">
        <w:rPr>
          <w:rFonts w:cs="Arial"/>
        </w:rPr>
        <w:t>Some examples depicted herein are provided for illustration only and are fictitious.  No real association or connection is intended or should be inferred.</w:t>
      </w:r>
    </w:p>
    <w:p w14:paraId="4C85BA88" w14:textId="77777777" w:rsidR="00BF2700" w:rsidRPr="005B7B1F" w:rsidRDefault="00BF2700" w:rsidP="00BF2700">
      <w:pPr>
        <w:rPr>
          <w:rFonts w:cs="Arial"/>
        </w:rPr>
      </w:pPr>
      <w:r w:rsidRPr="005B7B1F">
        <w:rPr>
          <w:rFonts w:cs="Arial"/>
        </w:rPr>
        <w:t xml:space="preserve">This document does not provide you with any legal rights to any intellectual property in any Microsoft product. You may copy and use this document for your internal, reference purposes. </w:t>
      </w:r>
    </w:p>
    <w:p w14:paraId="4151E3B9" w14:textId="77777777" w:rsidR="00BF2700" w:rsidRPr="00674032" w:rsidRDefault="00BF2700" w:rsidP="00BF2700">
      <w:pPr>
        <w:rPr>
          <w:rFonts w:cs="Arial"/>
        </w:rPr>
      </w:pPr>
      <w:r w:rsidRPr="005B7B1F">
        <w:rPr>
          <w:rFonts w:cs="Arial"/>
        </w:rPr>
        <w:t>© 2011 Microsoft. All rights reserved.</w:t>
      </w:r>
    </w:p>
    <w:p w14:paraId="7D9A14C2" w14:textId="77777777" w:rsidR="00BF2700" w:rsidRDefault="00BF2700" w:rsidP="00BF2700">
      <w:pPr>
        <w:rPr>
          <w:rFonts w:cs="Arial"/>
          <w:sz w:val="36"/>
          <w:szCs w:val="36"/>
        </w:rPr>
      </w:pPr>
      <w:r>
        <w:rPr>
          <w:rFonts w:cs="Arial"/>
          <w:sz w:val="36"/>
          <w:szCs w:val="36"/>
        </w:rPr>
        <w:br w:type="page"/>
      </w:r>
    </w:p>
    <w:p w14:paraId="1B1B4D8A" w14:textId="77777777" w:rsidR="00BF2700" w:rsidRPr="00223821" w:rsidRDefault="00BF2700" w:rsidP="00BF2700">
      <w:pPr>
        <w:rPr>
          <w:rFonts w:cs="Arial"/>
          <w:sz w:val="36"/>
          <w:szCs w:val="36"/>
        </w:rPr>
      </w:pPr>
      <w:r w:rsidRPr="00223821">
        <w:rPr>
          <w:rFonts w:cs="Arial"/>
          <w:sz w:val="36"/>
          <w:szCs w:val="36"/>
        </w:rPr>
        <w:lastRenderedPageBreak/>
        <w:t>Contents</w:t>
      </w:r>
    </w:p>
    <w:p w14:paraId="74CB9F22" w14:textId="77777777" w:rsidR="00523E9D" w:rsidRDefault="00BF2700">
      <w:pPr>
        <w:pStyle w:val="TOC1"/>
        <w:tabs>
          <w:tab w:val="right" w:leader="dot" w:pos="9350"/>
        </w:tabs>
        <w:rPr>
          <w:rFonts w:asciiTheme="minorHAnsi" w:eastAsiaTheme="minorEastAsia" w:hAnsiTheme="minorHAnsi" w:cstheme="minorBidi"/>
          <w:noProof/>
        </w:rPr>
      </w:pPr>
      <w:r>
        <w:rPr>
          <w:b/>
          <w:bCs/>
        </w:rPr>
        <w:fldChar w:fldCharType="begin"/>
      </w:r>
      <w:r>
        <w:rPr>
          <w:b/>
          <w:bCs/>
        </w:rPr>
        <w:instrText xml:space="preserve"> TOC \o "1-2" \h \z \u </w:instrText>
      </w:r>
      <w:r>
        <w:rPr>
          <w:b/>
          <w:bCs/>
        </w:rPr>
        <w:fldChar w:fldCharType="separate"/>
      </w:r>
      <w:hyperlink w:anchor="_Toc284834159" w:history="1">
        <w:r w:rsidR="00523E9D" w:rsidRPr="00CC36D3">
          <w:rPr>
            <w:rStyle w:val="Hyperlink"/>
            <w:noProof/>
          </w:rPr>
          <w:t>FT 3.0 Highlights</w:t>
        </w:r>
        <w:r w:rsidR="00523E9D">
          <w:rPr>
            <w:noProof/>
            <w:webHidden/>
          </w:rPr>
          <w:tab/>
        </w:r>
        <w:r w:rsidR="00523E9D">
          <w:rPr>
            <w:noProof/>
            <w:webHidden/>
          </w:rPr>
          <w:fldChar w:fldCharType="begin"/>
        </w:r>
        <w:r w:rsidR="00523E9D">
          <w:rPr>
            <w:noProof/>
            <w:webHidden/>
          </w:rPr>
          <w:instrText xml:space="preserve"> PAGEREF _Toc284834159 \h </w:instrText>
        </w:r>
        <w:r w:rsidR="00523E9D">
          <w:rPr>
            <w:noProof/>
            <w:webHidden/>
          </w:rPr>
        </w:r>
        <w:r w:rsidR="00523E9D">
          <w:rPr>
            <w:noProof/>
            <w:webHidden/>
          </w:rPr>
          <w:fldChar w:fldCharType="separate"/>
        </w:r>
        <w:r w:rsidR="00523E9D">
          <w:rPr>
            <w:noProof/>
            <w:webHidden/>
          </w:rPr>
          <w:t>4</w:t>
        </w:r>
        <w:r w:rsidR="00523E9D">
          <w:rPr>
            <w:noProof/>
            <w:webHidden/>
          </w:rPr>
          <w:fldChar w:fldCharType="end"/>
        </w:r>
      </w:hyperlink>
    </w:p>
    <w:p w14:paraId="42A4E42C" w14:textId="77777777" w:rsidR="00523E9D" w:rsidRDefault="00657256">
      <w:pPr>
        <w:pStyle w:val="TOC1"/>
        <w:tabs>
          <w:tab w:val="right" w:leader="dot" w:pos="9350"/>
        </w:tabs>
        <w:rPr>
          <w:rFonts w:asciiTheme="minorHAnsi" w:eastAsiaTheme="minorEastAsia" w:hAnsiTheme="minorHAnsi" w:cstheme="minorBidi"/>
          <w:noProof/>
        </w:rPr>
      </w:pPr>
      <w:hyperlink w:anchor="_Toc284834160" w:history="1">
        <w:r w:rsidR="00523E9D" w:rsidRPr="00CC36D3">
          <w:rPr>
            <w:rStyle w:val="Hyperlink"/>
            <w:noProof/>
          </w:rPr>
          <w:t>Introduction</w:t>
        </w:r>
        <w:r w:rsidR="00523E9D">
          <w:rPr>
            <w:noProof/>
            <w:webHidden/>
          </w:rPr>
          <w:tab/>
        </w:r>
        <w:r w:rsidR="00523E9D">
          <w:rPr>
            <w:noProof/>
            <w:webHidden/>
          </w:rPr>
          <w:fldChar w:fldCharType="begin"/>
        </w:r>
        <w:r w:rsidR="00523E9D">
          <w:rPr>
            <w:noProof/>
            <w:webHidden/>
          </w:rPr>
          <w:instrText xml:space="preserve"> PAGEREF _Toc284834160 \h </w:instrText>
        </w:r>
        <w:r w:rsidR="00523E9D">
          <w:rPr>
            <w:noProof/>
            <w:webHidden/>
          </w:rPr>
        </w:r>
        <w:r w:rsidR="00523E9D">
          <w:rPr>
            <w:noProof/>
            <w:webHidden/>
          </w:rPr>
          <w:fldChar w:fldCharType="separate"/>
        </w:r>
        <w:r w:rsidR="00523E9D">
          <w:rPr>
            <w:noProof/>
            <w:webHidden/>
          </w:rPr>
          <w:t>4</w:t>
        </w:r>
        <w:r w:rsidR="00523E9D">
          <w:rPr>
            <w:noProof/>
            <w:webHidden/>
          </w:rPr>
          <w:fldChar w:fldCharType="end"/>
        </w:r>
      </w:hyperlink>
    </w:p>
    <w:p w14:paraId="4AD23989" w14:textId="77777777" w:rsidR="00523E9D" w:rsidRDefault="00657256">
      <w:pPr>
        <w:pStyle w:val="TOC2"/>
        <w:tabs>
          <w:tab w:val="right" w:leader="dot" w:pos="9350"/>
        </w:tabs>
        <w:rPr>
          <w:rFonts w:asciiTheme="minorHAnsi" w:eastAsiaTheme="minorEastAsia" w:hAnsiTheme="minorHAnsi" w:cstheme="minorBidi"/>
          <w:noProof/>
        </w:rPr>
      </w:pPr>
      <w:hyperlink w:anchor="_Toc284834161" w:history="1">
        <w:r w:rsidR="00523E9D" w:rsidRPr="00CC36D3">
          <w:rPr>
            <w:rStyle w:val="Hyperlink"/>
            <w:noProof/>
          </w:rPr>
          <w:t>Audience</w:t>
        </w:r>
        <w:r w:rsidR="00523E9D">
          <w:rPr>
            <w:noProof/>
            <w:webHidden/>
          </w:rPr>
          <w:tab/>
        </w:r>
        <w:r w:rsidR="00523E9D">
          <w:rPr>
            <w:noProof/>
            <w:webHidden/>
          </w:rPr>
          <w:fldChar w:fldCharType="begin"/>
        </w:r>
        <w:r w:rsidR="00523E9D">
          <w:rPr>
            <w:noProof/>
            <w:webHidden/>
          </w:rPr>
          <w:instrText xml:space="preserve"> PAGEREF _Toc284834161 \h </w:instrText>
        </w:r>
        <w:r w:rsidR="00523E9D">
          <w:rPr>
            <w:noProof/>
            <w:webHidden/>
          </w:rPr>
        </w:r>
        <w:r w:rsidR="00523E9D">
          <w:rPr>
            <w:noProof/>
            <w:webHidden/>
          </w:rPr>
          <w:fldChar w:fldCharType="separate"/>
        </w:r>
        <w:r w:rsidR="00523E9D">
          <w:rPr>
            <w:noProof/>
            <w:webHidden/>
          </w:rPr>
          <w:t>4</w:t>
        </w:r>
        <w:r w:rsidR="00523E9D">
          <w:rPr>
            <w:noProof/>
            <w:webHidden/>
          </w:rPr>
          <w:fldChar w:fldCharType="end"/>
        </w:r>
      </w:hyperlink>
    </w:p>
    <w:p w14:paraId="7DF61688" w14:textId="77777777" w:rsidR="00523E9D" w:rsidRDefault="00657256">
      <w:pPr>
        <w:pStyle w:val="TOC1"/>
        <w:tabs>
          <w:tab w:val="right" w:leader="dot" w:pos="9350"/>
        </w:tabs>
        <w:rPr>
          <w:rFonts w:asciiTheme="minorHAnsi" w:eastAsiaTheme="minorEastAsia" w:hAnsiTheme="minorHAnsi" w:cstheme="minorBidi"/>
          <w:noProof/>
        </w:rPr>
      </w:pPr>
      <w:hyperlink w:anchor="_Toc284834162" w:history="1">
        <w:r w:rsidR="00523E9D" w:rsidRPr="00CC36D3">
          <w:rPr>
            <w:rStyle w:val="Hyperlink"/>
            <w:noProof/>
          </w:rPr>
          <w:t>Fast Track Data Warehouse</w:t>
        </w:r>
        <w:r w:rsidR="00523E9D">
          <w:rPr>
            <w:noProof/>
            <w:webHidden/>
          </w:rPr>
          <w:tab/>
        </w:r>
        <w:r w:rsidR="00523E9D">
          <w:rPr>
            <w:noProof/>
            <w:webHidden/>
          </w:rPr>
          <w:fldChar w:fldCharType="begin"/>
        </w:r>
        <w:r w:rsidR="00523E9D">
          <w:rPr>
            <w:noProof/>
            <w:webHidden/>
          </w:rPr>
          <w:instrText xml:space="preserve"> PAGEREF _Toc284834162 \h </w:instrText>
        </w:r>
        <w:r w:rsidR="00523E9D">
          <w:rPr>
            <w:noProof/>
            <w:webHidden/>
          </w:rPr>
        </w:r>
        <w:r w:rsidR="00523E9D">
          <w:rPr>
            <w:noProof/>
            <w:webHidden/>
          </w:rPr>
          <w:fldChar w:fldCharType="separate"/>
        </w:r>
        <w:r w:rsidR="00523E9D">
          <w:rPr>
            <w:noProof/>
            <w:webHidden/>
          </w:rPr>
          <w:t>4</w:t>
        </w:r>
        <w:r w:rsidR="00523E9D">
          <w:rPr>
            <w:noProof/>
            <w:webHidden/>
          </w:rPr>
          <w:fldChar w:fldCharType="end"/>
        </w:r>
      </w:hyperlink>
    </w:p>
    <w:p w14:paraId="64CB5079" w14:textId="77777777" w:rsidR="00523E9D" w:rsidRDefault="00657256">
      <w:pPr>
        <w:pStyle w:val="TOC1"/>
        <w:tabs>
          <w:tab w:val="right" w:leader="dot" w:pos="9350"/>
        </w:tabs>
        <w:rPr>
          <w:rFonts w:asciiTheme="minorHAnsi" w:eastAsiaTheme="minorEastAsia" w:hAnsiTheme="minorHAnsi" w:cstheme="minorBidi"/>
          <w:noProof/>
        </w:rPr>
      </w:pPr>
      <w:hyperlink w:anchor="_Toc284834163" w:history="1">
        <w:r w:rsidR="00523E9D" w:rsidRPr="00CC36D3">
          <w:rPr>
            <w:rStyle w:val="Hyperlink"/>
            <w:noProof/>
          </w:rPr>
          <w:t>Methodology</w:t>
        </w:r>
        <w:r w:rsidR="00523E9D">
          <w:rPr>
            <w:noProof/>
            <w:webHidden/>
          </w:rPr>
          <w:tab/>
        </w:r>
        <w:r w:rsidR="00523E9D">
          <w:rPr>
            <w:noProof/>
            <w:webHidden/>
          </w:rPr>
          <w:fldChar w:fldCharType="begin"/>
        </w:r>
        <w:r w:rsidR="00523E9D">
          <w:rPr>
            <w:noProof/>
            <w:webHidden/>
          </w:rPr>
          <w:instrText xml:space="preserve"> PAGEREF _Toc284834163 \h </w:instrText>
        </w:r>
        <w:r w:rsidR="00523E9D">
          <w:rPr>
            <w:noProof/>
            <w:webHidden/>
          </w:rPr>
        </w:r>
        <w:r w:rsidR="00523E9D">
          <w:rPr>
            <w:noProof/>
            <w:webHidden/>
          </w:rPr>
          <w:fldChar w:fldCharType="separate"/>
        </w:r>
        <w:r w:rsidR="00523E9D">
          <w:rPr>
            <w:noProof/>
            <w:webHidden/>
          </w:rPr>
          <w:t>5</w:t>
        </w:r>
        <w:r w:rsidR="00523E9D">
          <w:rPr>
            <w:noProof/>
            <w:webHidden/>
          </w:rPr>
          <w:fldChar w:fldCharType="end"/>
        </w:r>
      </w:hyperlink>
    </w:p>
    <w:p w14:paraId="66DB0F8A" w14:textId="77777777" w:rsidR="00523E9D" w:rsidRDefault="00657256">
      <w:pPr>
        <w:pStyle w:val="TOC1"/>
        <w:tabs>
          <w:tab w:val="right" w:leader="dot" w:pos="9350"/>
        </w:tabs>
        <w:rPr>
          <w:rFonts w:asciiTheme="minorHAnsi" w:eastAsiaTheme="minorEastAsia" w:hAnsiTheme="minorHAnsi" w:cstheme="minorBidi"/>
          <w:noProof/>
        </w:rPr>
      </w:pPr>
      <w:hyperlink w:anchor="_Toc284834164" w:history="1">
        <w:r w:rsidR="00523E9D" w:rsidRPr="00CC36D3">
          <w:rPr>
            <w:rStyle w:val="Hyperlink"/>
            <w:noProof/>
          </w:rPr>
          <w:t>FTDW Workload</w:t>
        </w:r>
        <w:r w:rsidR="00523E9D">
          <w:rPr>
            <w:noProof/>
            <w:webHidden/>
          </w:rPr>
          <w:tab/>
        </w:r>
        <w:r w:rsidR="00523E9D">
          <w:rPr>
            <w:noProof/>
            <w:webHidden/>
          </w:rPr>
          <w:fldChar w:fldCharType="begin"/>
        </w:r>
        <w:r w:rsidR="00523E9D">
          <w:rPr>
            <w:noProof/>
            <w:webHidden/>
          </w:rPr>
          <w:instrText xml:space="preserve"> PAGEREF _Toc284834164 \h </w:instrText>
        </w:r>
        <w:r w:rsidR="00523E9D">
          <w:rPr>
            <w:noProof/>
            <w:webHidden/>
          </w:rPr>
        </w:r>
        <w:r w:rsidR="00523E9D">
          <w:rPr>
            <w:noProof/>
            <w:webHidden/>
          </w:rPr>
          <w:fldChar w:fldCharType="separate"/>
        </w:r>
        <w:r w:rsidR="00523E9D">
          <w:rPr>
            <w:noProof/>
            <w:webHidden/>
          </w:rPr>
          <w:t>7</w:t>
        </w:r>
        <w:r w:rsidR="00523E9D">
          <w:rPr>
            <w:noProof/>
            <w:webHidden/>
          </w:rPr>
          <w:fldChar w:fldCharType="end"/>
        </w:r>
      </w:hyperlink>
    </w:p>
    <w:p w14:paraId="7CF01C50" w14:textId="77777777" w:rsidR="00523E9D" w:rsidRDefault="00657256">
      <w:pPr>
        <w:pStyle w:val="TOC1"/>
        <w:tabs>
          <w:tab w:val="right" w:leader="dot" w:pos="9350"/>
        </w:tabs>
        <w:rPr>
          <w:rFonts w:asciiTheme="minorHAnsi" w:eastAsiaTheme="minorEastAsia" w:hAnsiTheme="minorHAnsi" w:cstheme="minorBidi"/>
          <w:noProof/>
        </w:rPr>
      </w:pPr>
      <w:hyperlink w:anchor="_Toc284834165" w:history="1">
        <w:r w:rsidR="00523E9D" w:rsidRPr="00CC36D3">
          <w:rPr>
            <w:rStyle w:val="Hyperlink"/>
            <w:noProof/>
          </w:rPr>
          <w:t>Choosing a FTDW Reference Configuration</w:t>
        </w:r>
        <w:r w:rsidR="00523E9D">
          <w:rPr>
            <w:noProof/>
            <w:webHidden/>
          </w:rPr>
          <w:tab/>
        </w:r>
        <w:r w:rsidR="00523E9D">
          <w:rPr>
            <w:noProof/>
            <w:webHidden/>
          </w:rPr>
          <w:fldChar w:fldCharType="begin"/>
        </w:r>
        <w:r w:rsidR="00523E9D">
          <w:rPr>
            <w:noProof/>
            <w:webHidden/>
          </w:rPr>
          <w:instrText xml:space="preserve"> PAGEREF _Toc284834165 \h </w:instrText>
        </w:r>
        <w:r w:rsidR="00523E9D">
          <w:rPr>
            <w:noProof/>
            <w:webHidden/>
          </w:rPr>
        </w:r>
        <w:r w:rsidR="00523E9D">
          <w:rPr>
            <w:noProof/>
            <w:webHidden/>
          </w:rPr>
          <w:fldChar w:fldCharType="separate"/>
        </w:r>
        <w:r w:rsidR="00523E9D">
          <w:rPr>
            <w:noProof/>
            <w:webHidden/>
          </w:rPr>
          <w:t>10</w:t>
        </w:r>
        <w:r w:rsidR="00523E9D">
          <w:rPr>
            <w:noProof/>
            <w:webHidden/>
          </w:rPr>
          <w:fldChar w:fldCharType="end"/>
        </w:r>
      </w:hyperlink>
    </w:p>
    <w:p w14:paraId="227B1A95" w14:textId="77777777" w:rsidR="00523E9D" w:rsidRDefault="00657256">
      <w:pPr>
        <w:pStyle w:val="TOC2"/>
        <w:tabs>
          <w:tab w:val="right" w:leader="dot" w:pos="9350"/>
        </w:tabs>
        <w:rPr>
          <w:rFonts w:asciiTheme="minorHAnsi" w:eastAsiaTheme="minorEastAsia" w:hAnsiTheme="minorHAnsi" w:cstheme="minorBidi"/>
          <w:noProof/>
        </w:rPr>
      </w:pPr>
      <w:hyperlink w:anchor="_Toc284834166" w:history="1">
        <w:r w:rsidR="00523E9D" w:rsidRPr="00CC36D3">
          <w:rPr>
            <w:rStyle w:val="Hyperlink"/>
            <w:noProof/>
          </w:rPr>
          <w:t>Option 1: Basic Evaluation</w:t>
        </w:r>
        <w:r w:rsidR="00523E9D">
          <w:rPr>
            <w:noProof/>
            <w:webHidden/>
          </w:rPr>
          <w:tab/>
        </w:r>
        <w:r w:rsidR="00523E9D">
          <w:rPr>
            <w:noProof/>
            <w:webHidden/>
          </w:rPr>
          <w:fldChar w:fldCharType="begin"/>
        </w:r>
        <w:r w:rsidR="00523E9D">
          <w:rPr>
            <w:noProof/>
            <w:webHidden/>
          </w:rPr>
          <w:instrText xml:space="preserve"> PAGEREF _Toc284834166 \h </w:instrText>
        </w:r>
        <w:r w:rsidR="00523E9D">
          <w:rPr>
            <w:noProof/>
            <w:webHidden/>
          </w:rPr>
        </w:r>
        <w:r w:rsidR="00523E9D">
          <w:rPr>
            <w:noProof/>
            <w:webHidden/>
          </w:rPr>
          <w:fldChar w:fldCharType="separate"/>
        </w:r>
        <w:r w:rsidR="00523E9D">
          <w:rPr>
            <w:noProof/>
            <w:webHidden/>
          </w:rPr>
          <w:t>11</w:t>
        </w:r>
        <w:r w:rsidR="00523E9D">
          <w:rPr>
            <w:noProof/>
            <w:webHidden/>
          </w:rPr>
          <w:fldChar w:fldCharType="end"/>
        </w:r>
      </w:hyperlink>
    </w:p>
    <w:p w14:paraId="67B780CC" w14:textId="77777777" w:rsidR="00523E9D" w:rsidRDefault="00657256">
      <w:pPr>
        <w:pStyle w:val="TOC2"/>
        <w:tabs>
          <w:tab w:val="right" w:leader="dot" w:pos="9350"/>
        </w:tabs>
        <w:rPr>
          <w:rFonts w:asciiTheme="minorHAnsi" w:eastAsiaTheme="minorEastAsia" w:hAnsiTheme="minorHAnsi" w:cstheme="minorBidi"/>
          <w:noProof/>
        </w:rPr>
      </w:pPr>
      <w:hyperlink w:anchor="_Toc284834167" w:history="1">
        <w:r w:rsidR="00523E9D" w:rsidRPr="00CC36D3">
          <w:rPr>
            <w:rStyle w:val="Hyperlink"/>
            <w:noProof/>
          </w:rPr>
          <w:t>Option 2: Full Evaluation</w:t>
        </w:r>
        <w:r w:rsidR="00523E9D">
          <w:rPr>
            <w:noProof/>
            <w:webHidden/>
          </w:rPr>
          <w:tab/>
        </w:r>
        <w:r w:rsidR="00523E9D">
          <w:rPr>
            <w:noProof/>
            <w:webHidden/>
          </w:rPr>
          <w:fldChar w:fldCharType="begin"/>
        </w:r>
        <w:r w:rsidR="00523E9D">
          <w:rPr>
            <w:noProof/>
            <w:webHidden/>
          </w:rPr>
          <w:instrText xml:space="preserve"> PAGEREF _Toc284834167 \h </w:instrText>
        </w:r>
        <w:r w:rsidR="00523E9D">
          <w:rPr>
            <w:noProof/>
            <w:webHidden/>
          </w:rPr>
        </w:r>
        <w:r w:rsidR="00523E9D">
          <w:rPr>
            <w:noProof/>
            <w:webHidden/>
          </w:rPr>
          <w:fldChar w:fldCharType="separate"/>
        </w:r>
        <w:r w:rsidR="00523E9D">
          <w:rPr>
            <w:noProof/>
            <w:webHidden/>
          </w:rPr>
          <w:t>13</w:t>
        </w:r>
        <w:r w:rsidR="00523E9D">
          <w:rPr>
            <w:noProof/>
            <w:webHidden/>
          </w:rPr>
          <w:fldChar w:fldCharType="end"/>
        </w:r>
      </w:hyperlink>
    </w:p>
    <w:p w14:paraId="05D4F492" w14:textId="77777777" w:rsidR="00523E9D" w:rsidRDefault="00657256">
      <w:pPr>
        <w:pStyle w:val="TOC2"/>
        <w:tabs>
          <w:tab w:val="right" w:leader="dot" w:pos="9350"/>
        </w:tabs>
        <w:rPr>
          <w:rFonts w:asciiTheme="minorHAnsi" w:eastAsiaTheme="minorEastAsia" w:hAnsiTheme="minorHAnsi" w:cstheme="minorBidi"/>
          <w:noProof/>
        </w:rPr>
      </w:pPr>
      <w:hyperlink w:anchor="_Toc284834168" w:history="1">
        <w:r w:rsidR="00523E9D" w:rsidRPr="00CC36D3">
          <w:rPr>
            <w:rStyle w:val="Hyperlink"/>
            <w:noProof/>
          </w:rPr>
          <w:t>Option 3: User-Defined Reference Architectures</w:t>
        </w:r>
        <w:r w:rsidR="00523E9D">
          <w:rPr>
            <w:noProof/>
            <w:webHidden/>
          </w:rPr>
          <w:tab/>
        </w:r>
        <w:r w:rsidR="00523E9D">
          <w:rPr>
            <w:noProof/>
            <w:webHidden/>
          </w:rPr>
          <w:fldChar w:fldCharType="begin"/>
        </w:r>
        <w:r w:rsidR="00523E9D">
          <w:rPr>
            <w:noProof/>
            <w:webHidden/>
          </w:rPr>
          <w:instrText xml:space="preserve"> PAGEREF _Toc284834168 \h </w:instrText>
        </w:r>
        <w:r w:rsidR="00523E9D">
          <w:rPr>
            <w:noProof/>
            <w:webHidden/>
          </w:rPr>
        </w:r>
        <w:r w:rsidR="00523E9D">
          <w:rPr>
            <w:noProof/>
            <w:webHidden/>
          </w:rPr>
          <w:fldChar w:fldCharType="separate"/>
        </w:r>
        <w:r w:rsidR="00523E9D">
          <w:rPr>
            <w:noProof/>
            <w:webHidden/>
          </w:rPr>
          <w:t>14</w:t>
        </w:r>
        <w:r w:rsidR="00523E9D">
          <w:rPr>
            <w:noProof/>
            <w:webHidden/>
          </w:rPr>
          <w:fldChar w:fldCharType="end"/>
        </w:r>
      </w:hyperlink>
    </w:p>
    <w:p w14:paraId="55B72C13" w14:textId="77777777" w:rsidR="00523E9D" w:rsidRDefault="00657256">
      <w:pPr>
        <w:pStyle w:val="TOC1"/>
        <w:tabs>
          <w:tab w:val="right" w:leader="dot" w:pos="9350"/>
        </w:tabs>
        <w:rPr>
          <w:rFonts w:asciiTheme="minorHAnsi" w:eastAsiaTheme="minorEastAsia" w:hAnsiTheme="minorHAnsi" w:cstheme="minorBidi"/>
          <w:noProof/>
        </w:rPr>
      </w:pPr>
      <w:hyperlink w:anchor="_Toc284834169" w:history="1">
        <w:r w:rsidR="00523E9D" w:rsidRPr="00CC36D3">
          <w:rPr>
            <w:rStyle w:val="Hyperlink"/>
            <w:noProof/>
          </w:rPr>
          <w:t>FTDW Standard Configuration</w:t>
        </w:r>
        <w:r w:rsidR="00523E9D">
          <w:rPr>
            <w:noProof/>
            <w:webHidden/>
          </w:rPr>
          <w:tab/>
        </w:r>
        <w:r w:rsidR="00523E9D">
          <w:rPr>
            <w:noProof/>
            <w:webHidden/>
          </w:rPr>
          <w:fldChar w:fldCharType="begin"/>
        </w:r>
        <w:r w:rsidR="00523E9D">
          <w:rPr>
            <w:noProof/>
            <w:webHidden/>
          </w:rPr>
          <w:instrText xml:space="preserve"> PAGEREF _Toc284834169 \h </w:instrText>
        </w:r>
        <w:r w:rsidR="00523E9D">
          <w:rPr>
            <w:noProof/>
            <w:webHidden/>
          </w:rPr>
        </w:r>
        <w:r w:rsidR="00523E9D">
          <w:rPr>
            <w:noProof/>
            <w:webHidden/>
          </w:rPr>
          <w:fldChar w:fldCharType="separate"/>
        </w:r>
        <w:r w:rsidR="00523E9D">
          <w:rPr>
            <w:noProof/>
            <w:webHidden/>
          </w:rPr>
          <w:t>15</w:t>
        </w:r>
        <w:r w:rsidR="00523E9D">
          <w:rPr>
            <w:noProof/>
            <w:webHidden/>
          </w:rPr>
          <w:fldChar w:fldCharType="end"/>
        </w:r>
      </w:hyperlink>
    </w:p>
    <w:p w14:paraId="6F22C717" w14:textId="77777777" w:rsidR="00523E9D" w:rsidRDefault="00657256">
      <w:pPr>
        <w:pStyle w:val="TOC2"/>
        <w:tabs>
          <w:tab w:val="right" w:leader="dot" w:pos="9350"/>
        </w:tabs>
        <w:rPr>
          <w:rFonts w:asciiTheme="minorHAnsi" w:eastAsiaTheme="minorEastAsia" w:hAnsiTheme="minorHAnsi" w:cstheme="minorBidi"/>
          <w:noProof/>
        </w:rPr>
      </w:pPr>
      <w:hyperlink w:anchor="_Toc284834170" w:history="1">
        <w:r w:rsidR="00523E9D" w:rsidRPr="00CC36D3">
          <w:rPr>
            <w:rStyle w:val="Hyperlink"/>
            <w:noProof/>
          </w:rPr>
          <w:t>Hardware Component Architecture</w:t>
        </w:r>
        <w:r w:rsidR="00523E9D">
          <w:rPr>
            <w:noProof/>
            <w:webHidden/>
          </w:rPr>
          <w:tab/>
        </w:r>
        <w:r w:rsidR="00523E9D">
          <w:rPr>
            <w:noProof/>
            <w:webHidden/>
          </w:rPr>
          <w:fldChar w:fldCharType="begin"/>
        </w:r>
        <w:r w:rsidR="00523E9D">
          <w:rPr>
            <w:noProof/>
            <w:webHidden/>
          </w:rPr>
          <w:instrText xml:space="preserve"> PAGEREF _Toc284834170 \h </w:instrText>
        </w:r>
        <w:r w:rsidR="00523E9D">
          <w:rPr>
            <w:noProof/>
            <w:webHidden/>
          </w:rPr>
        </w:r>
        <w:r w:rsidR="00523E9D">
          <w:rPr>
            <w:noProof/>
            <w:webHidden/>
          </w:rPr>
          <w:fldChar w:fldCharType="separate"/>
        </w:r>
        <w:r w:rsidR="00523E9D">
          <w:rPr>
            <w:noProof/>
            <w:webHidden/>
          </w:rPr>
          <w:t>15</w:t>
        </w:r>
        <w:r w:rsidR="00523E9D">
          <w:rPr>
            <w:noProof/>
            <w:webHidden/>
          </w:rPr>
          <w:fldChar w:fldCharType="end"/>
        </w:r>
      </w:hyperlink>
    </w:p>
    <w:p w14:paraId="243CB6AB" w14:textId="77777777" w:rsidR="00523E9D" w:rsidRDefault="00657256">
      <w:pPr>
        <w:pStyle w:val="TOC2"/>
        <w:tabs>
          <w:tab w:val="right" w:leader="dot" w:pos="9350"/>
        </w:tabs>
        <w:rPr>
          <w:rFonts w:asciiTheme="minorHAnsi" w:eastAsiaTheme="minorEastAsia" w:hAnsiTheme="minorHAnsi" w:cstheme="minorBidi"/>
          <w:noProof/>
        </w:rPr>
      </w:pPr>
      <w:hyperlink w:anchor="_Toc284834171" w:history="1">
        <w:r w:rsidR="00523E9D" w:rsidRPr="00CC36D3">
          <w:rPr>
            <w:rStyle w:val="Hyperlink"/>
            <w:noProof/>
          </w:rPr>
          <w:t>Application Configuration</w:t>
        </w:r>
        <w:r w:rsidR="00523E9D">
          <w:rPr>
            <w:noProof/>
            <w:webHidden/>
          </w:rPr>
          <w:tab/>
        </w:r>
        <w:r w:rsidR="00523E9D">
          <w:rPr>
            <w:noProof/>
            <w:webHidden/>
          </w:rPr>
          <w:fldChar w:fldCharType="begin"/>
        </w:r>
        <w:r w:rsidR="00523E9D">
          <w:rPr>
            <w:noProof/>
            <w:webHidden/>
          </w:rPr>
          <w:instrText xml:space="preserve"> PAGEREF _Toc284834171 \h </w:instrText>
        </w:r>
        <w:r w:rsidR="00523E9D">
          <w:rPr>
            <w:noProof/>
            <w:webHidden/>
          </w:rPr>
        </w:r>
        <w:r w:rsidR="00523E9D">
          <w:rPr>
            <w:noProof/>
            <w:webHidden/>
          </w:rPr>
          <w:fldChar w:fldCharType="separate"/>
        </w:r>
        <w:r w:rsidR="00523E9D">
          <w:rPr>
            <w:noProof/>
            <w:webHidden/>
          </w:rPr>
          <w:t>18</w:t>
        </w:r>
        <w:r w:rsidR="00523E9D">
          <w:rPr>
            <w:noProof/>
            <w:webHidden/>
          </w:rPr>
          <w:fldChar w:fldCharType="end"/>
        </w:r>
      </w:hyperlink>
    </w:p>
    <w:p w14:paraId="48387498" w14:textId="77777777" w:rsidR="00523E9D" w:rsidRDefault="00657256">
      <w:pPr>
        <w:pStyle w:val="TOC1"/>
        <w:tabs>
          <w:tab w:val="right" w:leader="dot" w:pos="9350"/>
        </w:tabs>
        <w:rPr>
          <w:rFonts w:asciiTheme="minorHAnsi" w:eastAsiaTheme="minorEastAsia" w:hAnsiTheme="minorHAnsi" w:cstheme="minorBidi"/>
          <w:noProof/>
        </w:rPr>
      </w:pPr>
      <w:hyperlink w:anchor="_Toc284834172" w:history="1">
        <w:r w:rsidR="00523E9D" w:rsidRPr="00CC36D3">
          <w:rPr>
            <w:rStyle w:val="Hyperlink"/>
            <w:noProof/>
          </w:rPr>
          <w:t>SQL Server Best Practices for FTDW</w:t>
        </w:r>
        <w:r w:rsidR="00523E9D">
          <w:rPr>
            <w:noProof/>
            <w:webHidden/>
          </w:rPr>
          <w:tab/>
        </w:r>
        <w:r w:rsidR="00523E9D">
          <w:rPr>
            <w:noProof/>
            <w:webHidden/>
          </w:rPr>
          <w:fldChar w:fldCharType="begin"/>
        </w:r>
        <w:r w:rsidR="00523E9D">
          <w:rPr>
            <w:noProof/>
            <w:webHidden/>
          </w:rPr>
          <w:instrText xml:space="preserve"> PAGEREF _Toc284834172 \h </w:instrText>
        </w:r>
        <w:r w:rsidR="00523E9D">
          <w:rPr>
            <w:noProof/>
            <w:webHidden/>
          </w:rPr>
        </w:r>
        <w:r w:rsidR="00523E9D">
          <w:rPr>
            <w:noProof/>
            <w:webHidden/>
          </w:rPr>
          <w:fldChar w:fldCharType="separate"/>
        </w:r>
        <w:r w:rsidR="00523E9D">
          <w:rPr>
            <w:noProof/>
            <w:webHidden/>
          </w:rPr>
          <w:t>22</w:t>
        </w:r>
        <w:r w:rsidR="00523E9D">
          <w:rPr>
            <w:noProof/>
            <w:webHidden/>
          </w:rPr>
          <w:fldChar w:fldCharType="end"/>
        </w:r>
      </w:hyperlink>
    </w:p>
    <w:p w14:paraId="38DDC715" w14:textId="77777777" w:rsidR="00523E9D" w:rsidRDefault="00657256">
      <w:pPr>
        <w:pStyle w:val="TOC2"/>
        <w:tabs>
          <w:tab w:val="right" w:leader="dot" w:pos="9350"/>
        </w:tabs>
        <w:rPr>
          <w:rFonts w:asciiTheme="minorHAnsi" w:eastAsiaTheme="minorEastAsia" w:hAnsiTheme="minorHAnsi" w:cstheme="minorBidi"/>
          <w:noProof/>
        </w:rPr>
      </w:pPr>
      <w:hyperlink w:anchor="_Toc284834173" w:history="1">
        <w:r w:rsidR="00523E9D" w:rsidRPr="00CC36D3">
          <w:rPr>
            <w:rStyle w:val="Hyperlink"/>
            <w:noProof/>
          </w:rPr>
          <w:t>Data Architecture</w:t>
        </w:r>
        <w:r w:rsidR="00523E9D">
          <w:rPr>
            <w:noProof/>
            <w:webHidden/>
          </w:rPr>
          <w:tab/>
        </w:r>
        <w:r w:rsidR="00523E9D">
          <w:rPr>
            <w:noProof/>
            <w:webHidden/>
          </w:rPr>
          <w:fldChar w:fldCharType="begin"/>
        </w:r>
        <w:r w:rsidR="00523E9D">
          <w:rPr>
            <w:noProof/>
            <w:webHidden/>
          </w:rPr>
          <w:instrText xml:space="preserve"> PAGEREF _Toc284834173 \h </w:instrText>
        </w:r>
        <w:r w:rsidR="00523E9D">
          <w:rPr>
            <w:noProof/>
            <w:webHidden/>
          </w:rPr>
        </w:r>
        <w:r w:rsidR="00523E9D">
          <w:rPr>
            <w:noProof/>
            <w:webHidden/>
          </w:rPr>
          <w:fldChar w:fldCharType="separate"/>
        </w:r>
        <w:r w:rsidR="00523E9D">
          <w:rPr>
            <w:noProof/>
            <w:webHidden/>
          </w:rPr>
          <w:t>22</w:t>
        </w:r>
        <w:r w:rsidR="00523E9D">
          <w:rPr>
            <w:noProof/>
            <w:webHidden/>
          </w:rPr>
          <w:fldChar w:fldCharType="end"/>
        </w:r>
      </w:hyperlink>
    </w:p>
    <w:p w14:paraId="2F2B3EA1" w14:textId="77777777" w:rsidR="00523E9D" w:rsidRDefault="00657256">
      <w:pPr>
        <w:pStyle w:val="TOC2"/>
        <w:tabs>
          <w:tab w:val="right" w:leader="dot" w:pos="9350"/>
        </w:tabs>
        <w:rPr>
          <w:rFonts w:asciiTheme="minorHAnsi" w:eastAsiaTheme="minorEastAsia" w:hAnsiTheme="minorHAnsi" w:cstheme="minorBidi"/>
          <w:noProof/>
        </w:rPr>
      </w:pPr>
      <w:hyperlink w:anchor="_Toc284834174" w:history="1">
        <w:r w:rsidR="00523E9D" w:rsidRPr="00CC36D3">
          <w:rPr>
            <w:rStyle w:val="Hyperlink"/>
            <w:noProof/>
          </w:rPr>
          <w:t>Indexing</w:t>
        </w:r>
        <w:r w:rsidR="00523E9D">
          <w:rPr>
            <w:noProof/>
            <w:webHidden/>
          </w:rPr>
          <w:tab/>
        </w:r>
        <w:r w:rsidR="00523E9D">
          <w:rPr>
            <w:noProof/>
            <w:webHidden/>
          </w:rPr>
          <w:fldChar w:fldCharType="begin"/>
        </w:r>
        <w:r w:rsidR="00523E9D">
          <w:rPr>
            <w:noProof/>
            <w:webHidden/>
          </w:rPr>
          <w:instrText xml:space="preserve"> PAGEREF _Toc284834174 \h </w:instrText>
        </w:r>
        <w:r w:rsidR="00523E9D">
          <w:rPr>
            <w:noProof/>
            <w:webHidden/>
          </w:rPr>
        </w:r>
        <w:r w:rsidR="00523E9D">
          <w:rPr>
            <w:noProof/>
            <w:webHidden/>
          </w:rPr>
          <w:fldChar w:fldCharType="separate"/>
        </w:r>
        <w:r w:rsidR="00523E9D">
          <w:rPr>
            <w:noProof/>
            <w:webHidden/>
          </w:rPr>
          <w:t>23</w:t>
        </w:r>
        <w:r w:rsidR="00523E9D">
          <w:rPr>
            <w:noProof/>
            <w:webHidden/>
          </w:rPr>
          <w:fldChar w:fldCharType="end"/>
        </w:r>
      </w:hyperlink>
    </w:p>
    <w:p w14:paraId="290E83B3" w14:textId="77777777" w:rsidR="00523E9D" w:rsidRDefault="00657256">
      <w:pPr>
        <w:pStyle w:val="TOC2"/>
        <w:tabs>
          <w:tab w:val="right" w:leader="dot" w:pos="9350"/>
        </w:tabs>
        <w:rPr>
          <w:rFonts w:asciiTheme="minorHAnsi" w:eastAsiaTheme="minorEastAsia" w:hAnsiTheme="minorHAnsi" w:cstheme="minorBidi"/>
          <w:noProof/>
        </w:rPr>
      </w:pPr>
      <w:hyperlink w:anchor="_Toc284834175" w:history="1">
        <w:r w:rsidR="00523E9D" w:rsidRPr="00CC36D3">
          <w:rPr>
            <w:rStyle w:val="Hyperlink"/>
            <w:noProof/>
          </w:rPr>
          <w:t>Managing Data Fragmentation</w:t>
        </w:r>
        <w:r w:rsidR="00523E9D">
          <w:rPr>
            <w:noProof/>
            <w:webHidden/>
          </w:rPr>
          <w:tab/>
        </w:r>
        <w:r w:rsidR="00523E9D">
          <w:rPr>
            <w:noProof/>
            <w:webHidden/>
          </w:rPr>
          <w:fldChar w:fldCharType="begin"/>
        </w:r>
        <w:r w:rsidR="00523E9D">
          <w:rPr>
            <w:noProof/>
            <w:webHidden/>
          </w:rPr>
          <w:instrText xml:space="preserve"> PAGEREF _Toc284834175 \h </w:instrText>
        </w:r>
        <w:r w:rsidR="00523E9D">
          <w:rPr>
            <w:noProof/>
            <w:webHidden/>
          </w:rPr>
        </w:r>
        <w:r w:rsidR="00523E9D">
          <w:rPr>
            <w:noProof/>
            <w:webHidden/>
          </w:rPr>
          <w:fldChar w:fldCharType="separate"/>
        </w:r>
        <w:r w:rsidR="00523E9D">
          <w:rPr>
            <w:noProof/>
            <w:webHidden/>
          </w:rPr>
          <w:t>25</w:t>
        </w:r>
        <w:r w:rsidR="00523E9D">
          <w:rPr>
            <w:noProof/>
            <w:webHidden/>
          </w:rPr>
          <w:fldChar w:fldCharType="end"/>
        </w:r>
      </w:hyperlink>
    </w:p>
    <w:p w14:paraId="2CDF425F" w14:textId="77777777" w:rsidR="00523E9D" w:rsidRDefault="00657256">
      <w:pPr>
        <w:pStyle w:val="TOC2"/>
        <w:tabs>
          <w:tab w:val="right" w:leader="dot" w:pos="9350"/>
        </w:tabs>
        <w:rPr>
          <w:rFonts w:asciiTheme="minorHAnsi" w:eastAsiaTheme="minorEastAsia" w:hAnsiTheme="minorHAnsi" w:cstheme="minorBidi"/>
          <w:noProof/>
        </w:rPr>
      </w:pPr>
      <w:hyperlink w:anchor="_Toc284834176" w:history="1">
        <w:r w:rsidR="00523E9D" w:rsidRPr="00CC36D3">
          <w:rPr>
            <w:rStyle w:val="Hyperlink"/>
            <w:noProof/>
          </w:rPr>
          <w:t>Loading Data</w:t>
        </w:r>
        <w:r w:rsidR="00523E9D">
          <w:rPr>
            <w:noProof/>
            <w:webHidden/>
          </w:rPr>
          <w:tab/>
        </w:r>
        <w:r w:rsidR="00523E9D">
          <w:rPr>
            <w:noProof/>
            <w:webHidden/>
          </w:rPr>
          <w:fldChar w:fldCharType="begin"/>
        </w:r>
        <w:r w:rsidR="00523E9D">
          <w:rPr>
            <w:noProof/>
            <w:webHidden/>
          </w:rPr>
          <w:instrText xml:space="preserve"> PAGEREF _Toc284834176 \h </w:instrText>
        </w:r>
        <w:r w:rsidR="00523E9D">
          <w:rPr>
            <w:noProof/>
            <w:webHidden/>
          </w:rPr>
        </w:r>
        <w:r w:rsidR="00523E9D">
          <w:rPr>
            <w:noProof/>
            <w:webHidden/>
          </w:rPr>
          <w:fldChar w:fldCharType="separate"/>
        </w:r>
        <w:r w:rsidR="00523E9D">
          <w:rPr>
            <w:noProof/>
            <w:webHidden/>
          </w:rPr>
          <w:t>27</w:t>
        </w:r>
        <w:r w:rsidR="00523E9D">
          <w:rPr>
            <w:noProof/>
            <w:webHidden/>
          </w:rPr>
          <w:fldChar w:fldCharType="end"/>
        </w:r>
      </w:hyperlink>
    </w:p>
    <w:p w14:paraId="0C01EFE9" w14:textId="77777777" w:rsidR="00523E9D" w:rsidRDefault="00657256">
      <w:pPr>
        <w:pStyle w:val="TOC1"/>
        <w:tabs>
          <w:tab w:val="right" w:leader="dot" w:pos="9350"/>
        </w:tabs>
        <w:rPr>
          <w:rFonts w:asciiTheme="minorHAnsi" w:eastAsiaTheme="minorEastAsia" w:hAnsiTheme="minorHAnsi" w:cstheme="minorBidi"/>
          <w:noProof/>
        </w:rPr>
      </w:pPr>
      <w:hyperlink w:anchor="_Toc284834177" w:history="1">
        <w:r w:rsidR="00523E9D" w:rsidRPr="00CC36D3">
          <w:rPr>
            <w:rStyle w:val="Hyperlink"/>
            <w:noProof/>
          </w:rPr>
          <w:t>Benchmarking and Validation</w:t>
        </w:r>
        <w:r w:rsidR="00523E9D">
          <w:rPr>
            <w:noProof/>
            <w:webHidden/>
          </w:rPr>
          <w:tab/>
        </w:r>
        <w:r w:rsidR="00523E9D">
          <w:rPr>
            <w:noProof/>
            <w:webHidden/>
          </w:rPr>
          <w:fldChar w:fldCharType="begin"/>
        </w:r>
        <w:r w:rsidR="00523E9D">
          <w:rPr>
            <w:noProof/>
            <w:webHidden/>
          </w:rPr>
          <w:instrText xml:space="preserve"> PAGEREF _Toc284834177 \h </w:instrText>
        </w:r>
        <w:r w:rsidR="00523E9D">
          <w:rPr>
            <w:noProof/>
            <w:webHidden/>
          </w:rPr>
        </w:r>
        <w:r w:rsidR="00523E9D">
          <w:rPr>
            <w:noProof/>
            <w:webHidden/>
          </w:rPr>
          <w:fldChar w:fldCharType="separate"/>
        </w:r>
        <w:r w:rsidR="00523E9D">
          <w:rPr>
            <w:noProof/>
            <w:webHidden/>
          </w:rPr>
          <w:t>31</w:t>
        </w:r>
        <w:r w:rsidR="00523E9D">
          <w:rPr>
            <w:noProof/>
            <w:webHidden/>
          </w:rPr>
          <w:fldChar w:fldCharType="end"/>
        </w:r>
      </w:hyperlink>
    </w:p>
    <w:p w14:paraId="415D765E" w14:textId="77777777" w:rsidR="00523E9D" w:rsidRDefault="00657256">
      <w:pPr>
        <w:pStyle w:val="TOC1"/>
        <w:tabs>
          <w:tab w:val="right" w:leader="dot" w:pos="9350"/>
        </w:tabs>
        <w:rPr>
          <w:rFonts w:asciiTheme="minorHAnsi" w:eastAsiaTheme="minorEastAsia" w:hAnsiTheme="minorHAnsi" w:cstheme="minorBidi"/>
          <w:noProof/>
        </w:rPr>
      </w:pPr>
      <w:hyperlink w:anchor="_Toc284834178" w:history="1">
        <w:r w:rsidR="00523E9D" w:rsidRPr="00CC36D3">
          <w:rPr>
            <w:rStyle w:val="Hyperlink"/>
            <w:noProof/>
          </w:rPr>
          <w:t>Fast Track Data Warehouse Reference Configurations</w:t>
        </w:r>
        <w:r w:rsidR="00523E9D">
          <w:rPr>
            <w:noProof/>
            <w:webHidden/>
          </w:rPr>
          <w:tab/>
        </w:r>
        <w:r w:rsidR="00523E9D">
          <w:rPr>
            <w:noProof/>
            <w:webHidden/>
          </w:rPr>
          <w:fldChar w:fldCharType="begin"/>
        </w:r>
        <w:r w:rsidR="00523E9D">
          <w:rPr>
            <w:noProof/>
            <w:webHidden/>
          </w:rPr>
          <w:instrText xml:space="preserve"> PAGEREF _Toc284834178 \h </w:instrText>
        </w:r>
        <w:r w:rsidR="00523E9D">
          <w:rPr>
            <w:noProof/>
            <w:webHidden/>
          </w:rPr>
        </w:r>
        <w:r w:rsidR="00523E9D">
          <w:rPr>
            <w:noProof/>
            <w:webHidden/>
          </w:rPr>
          <w:fldChar w:fldCharType="separate"/>
        </w:r>
        <w:r w:rsidR="00523E9D">
          <w:rPr>
            <w:noProof/>
            <w:webHidden/>
          </w:rPr>
          <w:t>38</w:t>
        </w:r>
        <w:r w:rsidR="00523E9D">
          <w:rPr>
            <w:noProof/>
            <w:webHidden/>
          </w:rPr>
          <w:fldChar w:fldCharType="end"/>
        </w:r>
      </w:hyperlink>
    </w:p>
    <w:p w14:paraId="3992BAE2" w14:textId="77777777" w:rsidR="00523E9D" w:rsidRDefault="00657256">
      <w:pPr>
        <w:pStyle w:val="TOC1"/>
        <w:tabs>
          <w:tab w:val="right" w:leader="dot" w:pos="9350"/>
        </w:tabs>
        <w:rPr>
          <w:rFonts w:asciiTheme="minorHAnsi" w:eastAsiaTheme="minorEastAsia" w:hAnsiTheme="minorHAnsi" w:cstheme="minorBidi"/>
          <w:noProof/>
        </w:rPr>
      </w:pPr>
      <w:hyperlink w:anchor="_Toc284834179" w:history="1">
        <w:r w:rsidR="00523E9D" w:rsidRPr="00CC36D3">
          <w:rPr>
            <w:rStyle w:val="Hyperlink"/>
            <w:noProof/>
          </w:rPr>
          <w:t>Conclusion</w:t>
        </w:r>
        <w:r w:rsidR="00523E9D">
          <w:rPr>
            <w:noProof/>
            <w:webHidden/>
          </w:rPr>
          <w:tab/>
        </w:r>
        <w:r w:rsidR="00523E9D">
          <w:rPr>
            <w:noProof/>
            <w:webHidden/>
          </w:rPr>
          <w:fldChar w:fldCharType="begin"/>
        </w:r>
        <w:r w:rsidR="00523E9D">
          <w:rPr>
            <w:noProof/>
            <w:webHidden/>
          </w:rPr>
          <w:instrText xml:space="preserve"> PAGEREF _Toc284834179 \h </w:instrText>
        </w:r>
        <w:r w:rsidR="00523E9D">
          <w:rPr>
            <w:noProof/>
            <w:webHidden/>
          </w:rPr>
        </w:r>
        <w:r w:rsidR="00523E9D">
          <w:rPr>
            <w:noProof/>
            <w:webHidden/>
          </w:rPr>
          <w:fldChar w:fldCharType="separate"/>
        </w:r>
        <w:r w:rsidR="00523E9D">
          <w:rPr>
            <w:noProof/>
            <w:webHidden/>
          </w:rPr>
          <w:t>38</w:t>
        </w:r>
        <w:r w:rsidR="00523E9D">
          <w:rPr>
            <w:noProof/>
            <w:webHidden/>
          </w:rPr>
          <w:fldChar w:fldCharType="end"/>
        </w:r>
      </w:hyperlink>
    </w:p>
    <w:p w14:paraId="4D18358F" w14:textId="77777777" w:rsidR="00523E9D" w:rsidRDefault="00657256">
      <w:pPr>
        <w:pStyle w:val="TOC1"/>
        <w:tabs>
          <w:tab w:val="right" w:leader="dot" w:pos="9350"/>
        </w:tabs>
        <w:rPr>
          <w:rFonts w:asciiTheme="minorHAnsi" w:eastAsiaTheme="minorEastAsia" w:hAnsiTheme="minorHAnsi" w:cstheme="minorBidi"/>
          <w:noProof/>
        </w:rPr>
      </w:pPr>
      <w:hyperlink w:anchor="_Toc284834180" w:history="1">
        <w:r w:rsidR="00523E9D" w:rsidRPr="00CC36D3">
          <w:rPr>
            <w:rStyle w:val="Hyperlink"/>
            <w:noProof/>
          </w:rPr>
          <w:t>Appendix</w:t>
        </w:r>
        <w:r w:rsidR="00523E9D">
          <w:rPr>
            <w:noProof/>
            <w:webHidden/>
          </w:rPr>
          <w:tab/>
        </w:r>
        <w:r w:rsidR="00523E9D">
          <w:rPr>
            <w:noProof/>
            <w:webHidden/>
          </w:rPr>
          <w:fldChar w:fldCharType="begin"/>
        </w:r>
        <w:r w:rsidR="00523E9D">
          <w:rPr>
            <w:noProof/>
            <w:webHidden/>
          </w:rPr>
          <w:instrText xml:space="preserve"> PAGEREF _Toc284834180 \h </w:instrText>
        </w:r>
        <w:r w:rsidR="00523E9D">
          <w:rPr>
            <w:noProof/>
            <w:webHidden/>
          </w:rPr>
        </w:r>
        <w:r w:rsidR="00523E9D">
          <w:rPr>
            <w:noProof/>
            <w:webHidden/>
          </w:rPr>
          <w:fldChar w:fldCharType="separate"/>
        </w:r>
        <w:r w:rsidR="00523E9D">
          <w:rPr>
            <w:noProof/>
            <w:webHidden/>
          </w:rPr>
          <w:t>39</w:t>
        </w:r>
        <w:r w:rsidR="00523E9D">
          <w:rPr>
            <w:noProof/>
            <w:webHidden/>
          </w:rPr>
          <w:fldChar w:fldCharType="end"/>
        </w:r>
      </w:hyperlink>
    </w:p>
    <w:p w14:paraId="34CB9766" w14:textId="77777777" w:rsidR="00523E9D" w:rsidRDefault="00657256">
      <w:pPr>
        <w:pStyle w:val="TOC1"/>
        <w:tabs>
          <w:tab w:val="right" w:leader="dot" w:pos="9350"/>
        </w:tabs>
        <w:rPr>
          <w:rFonts w:asciiTheme="minorHAnsi" w:eastAsiaTheme="minorEastAsia" w:hAnsiTheme="minorHAnsi" w:cstheme="minorBidi"/>
          <w:noProof/>
        </w:rPr>
      </w:pPr>
      <w:hyperlink w:anchor="_Toc284834181" w:history="1">
        <w:r w:rsidR="00523E9D" w:rsidRPr="00CC36D3">
          <w:rPr>
            <w:rStyle w:val="Hyperlink"/>
            <w:noProof/>
          </w:rPr>
          <w:t>FTDW System Sizing Tool</w:t>
        </w:r>
        <w:r w:rsidR="00523E9D">
          <w:rPr>
            <w:noProof/>
            <w:webHidden/>
          </w:rPr>
          <w:tab/>
        </w:r>
        <w:r w:rsidR="00523E9D">
          <w:rPr>
            <w:noProof/>
            <w:webHidden/>
          </w:rPr>
          <w:fldChar w:fldCharType="begin"/>
        </w:r>
        <w:r w:rsidR="00523E9D">
          <w:rPr>
            <w:noProof/>
            <w:webHidden/>
          </w:rPr>
          <w:instrText xml:space="preserve"> PAGEREF _Toc284834181 \h </w:instrText>
        </w:r>
        <w:r w:rsidR="00523E9D">
          <w:rPr>
            <w:noProof/>
            <w:webHidden/>
          </w:rPr>
        </w:r>
        <w:r w:rsidR="00523E9D">
          <w:rPr>
            <w:noProof/>
            <w:webHidden/>
          </w:rPr>
          <w:fldChar w:fldCharType="separate"/>
        </w:r>
        <w:r w:rsidR="00523E9D">
          <w:rPr>
            <w:noProof/>
            <w:webHidden/>
          </w:rPr>
          <w:t>39</w:t>
        </w:r>
        <w:r w:rsidR="00523E9D">
          <w:rPr>
            <w:noProof/>
            <w:webHidden/>
          </w:rPr>
          <w:fldChar w:fldCharType="end"/>
        </w:r>
      </w:hyperlink>
    </w:p>
    <w:p w14:paraId="017C05D7" w14:textId="77777777" w:rsidR="00523E9D" w:rsidRDefault="00657256">
      <w:pPr>
        <w:pStyle w:val="TOC1"/>
        <w:tabs>
          <w:tab w:val="right" w:leader="dot" w:pos="9350"/>
        </w:tabs>
        <w:rPr>
          <w:rFonts w:asciiTheme="minorHAnsi" w:eastAsiaTheme="minorEastAsia" w:hAnsiTheme="minorHAnsi" w:cstheme="minorBidi"/>
          <w:noProof/>
        </w:rPr>
      </w:pPr>
      <w:hyperlink w:anchor="_Toc284834182" w:history="1">
        <w:r w:rsidR="00523E9D" w:rsidRPr="00CC36D3">
          <w:rPr>
            <w:rStyle w:val="Hyperlink"/>
            <w:noProof/>
          </w:rPr>
          <w:t>Validating a Fast Track Reference Architecture</w:t>
        </w:r>
        <w:r w:rsidR="00523E9D">
          <w:rPr>
            <w:noProof/>
            <w:webHidden/>
          </w:rPr>
          <w:tab/>
        </w:r>
        <w:r w:rsidR="00523E9D">
          <w:rPr>
            <w:noProof/>
            <w:webHidden/>
          </w:rPr>
          <w:fldChar w:fldCharType="begin"/>
        </w:r>
        <w:r w:rsidR="00523E9D">
          <w:rPr>
            <w:noProof/>
            <w:webHidden/>
          </w:rPr>
          <w:instrText xml:space="preserve"> PAGEREF _Toc284834182 \h </w:instrText>
        </w:r>
        <w:r w:rsidR="00523E9D">
          <w:rPr>
            <w:noProof/>
            <w:webHidden/>
          </w:rPr>
        </w:r>
        <w:r w:rsidR="00523E9D">
          <w:rPr>
            <w:noProof/>
            <w:webHidden/>
          </w:rPr>
          <w:fldChar w:fldCharType="separate"/>
        </w:r>
        <w:r w:rsidR="00523E9D">
          <w:rPr>
            <w:noProof/>
            <w:webHidden/>
          </w:rPr>
          <w:t>39</w:t>
        </w:r>
        <w:r w:rsidR="00523E9D">
          <w:rPr>
            <w:noProof/>
            <w:webHidden/>
          </w:rPr>
          <w:fldChar w:fldCharType="end"/>
        </w:r>
      </w:hyperlink>
    </w:p>
    <w:p w14:paraId="0DF8BE28" w14:textId="77777777" w:rsidR="00523E9D" w:rsidRDefault="00657256">
      <w:pPr>
        <w:pStyle w:val="TOC2"/>
        <w:tabs>
          <w:tab w:val="right" w:leader="dot" w:pos="9350"/>
        </w:tabs>
        <w:rPr>
          <w:rFonts w:asciiTheme="minorHAnsi" w:eastAsiaTheme="minorEastAsia" w:hAnsiTheme="minorHAnsi" w:cstheme="minorBidi"/>
          <w:noProof/>
        </w:rPr>
      </w:pPr>
      <w:hyperlink w:anchor="_Toc284834183" w:history="1">
        <w:r w:rsidR="00523E9D" w:rsidRPr="00CC36D3">
          <w:rPr>
            <w:rStyle w:val="Hyperlink"/>
            <w:noProof/>
          </w:rPr>
          <w:t>Synthetic I/O Testing</w:t>
        </w:r>
        <w:r w:rsidR="00523E9D">
          <w:rPr>
            <w:noProof/>
            <w:webHidden/>
          </w:rPr>
          <w:tab/>
        </w:r>
        <w:r w:rsidR="00523E9D">
          <w:rPr>
            <w:noProof/>
            <w:webHidden/>
          </w:rPr>
          <w:fldChar w:fldCharType="begin"/>
        </w:r>
        <w:r w:rsidR="00523E9D">
          <w:rPr>
            <w:noProof/>
            <w:webHidden/>
          </w:rPr>
          <w:instrText xml:space="preserve"> PAGEREF _Toc284834183 \h </w:instrText>
        </w:r>
        <w:r w:rsidR="00523E9D">
          <w:rPr>
            <w:noProof/>
            <w:webHidden/>
          </w:rPr>
        </w:r>
        <w:r w:rsidR="00523E9D">
          <w:rPr>
            <w:noProof/>
            <w:webHidden/>
          </w:rPr>
          <w:fldChar w:fldCharType="separate"/>
        </w:r>
        <w:r w:rsidR="00523E9D">
          <w:rPr>
            <w:noProof/>
            <w:webHidden/>
          </w:rPr>
          <w:t>39</w:t>
        </w:r>
        <w:r w:rsidR="00523E9D">
          <w:rPr>
            <w:noProof/>
            <w:webHidden/>
          </w:rPr>
          <w:fldChar w:fldCharType="end"/>
        </w:r>
      </w:hyperlink>
    </w:p>
    <w:p w14:paraId="1AA3CF17" w14:textId="77777777" w:rsidR="00523E9D" w:rsidRDefault="00657256">
      <w:pPr>
        <w:pStyle w:val="TOC2"/>
        <w:tabs>
          <w:tab w:val="right" w:leader="dot" w:pos="9350"/>
        </w:tabs>
        <w:rPr>
          <w:rFonts w:asciiTheme="minorHAnsi" w:eastAsiaTheme="minorEastAsia" w:hAnsiTheme="minorHAnsi" w:cstheme="minorBidi"/>
          <w:noProof/>
        </w:rPr>
      </w:pPr>
      <w:hyperlink w:anchor="_Toc284834184" w:history="1">
        <w:r w:rsidR="00523E9D" w:rsidRPr="00CC36D3">
          <w:rPr>
            <w:rStyle w:val="Hyperlink"/>
            <w:noProof/>
          </w:rPr>
          <w:t>Workload Testing</w:t>
        </w:r>
        <w:r w:rsidR="00523E9D">
          <w:rPr>
            <w:noProof/>
            <w:webHidden/>
          </w:rPr>
          <w:tab/>
        </w:r>
        <w:r w:rsidR="00523E9D">
          <w:rPr>
            <w:noProof/>
            <w:webHidden/>
          </w:rPr>
          <w:fldChar w:fldCharType="begin"/>
        </w:r>
        <w:r w:rsidR="00523E9D">
          <w:rPr>
            <w:noProof/>
            <w:webHidden/>
          </w:rPr>
          <w:instrText xml:space="preserve"> PAGEREF _Toc284834184 \h </w:instrText>
        </w:r>
        <w:r w:rsidR="00523E9D">
          <w:rPr>
            <w:noProof/>
            <w:webHidden/>
          </w:rPr>
        </w:r>
        <w:r w:rsidR="00523E9D">
          <w:rPr>
            <w:noProof/>
            <w:webHidden/>
          </w:rPr>
          <w:fldChar w:fldCharType="separate"/>
        </w:r>
        <w:r w:rsidR="00523E9D">
          <w:rPr>
            <w:noProof/>
            <w:webHidden/>
          </w:rPr>
          <w:t>43</w:t>
        </w:r>
        <w:r w:rsidR="00523E9D">
          <w:rPr>
            <w:noProof/>
            <w:webHidden/>
          </w:rPr>
          <w:fldChar w:fldCharType="end"/>
        </w:r>
      </w:hyperlink>
    </w:p>
    <w:p w14:paraId="684C597B" w14:textId="77777777" w:rsidR="00BF2700" w:rsidRDefault="00BF2700" w:rsidP="00BF2700">
      <w:pPr>
        <w:pStyle w:val="Heading1"/>
      </w:pPr>
      <w:r>
        <w:rPr>
          <w:b w:val="0"/>
          <w:bCs w:val="0"/>
        </w:rPr>
        <w:fldChar w:fldCharType="end"/>
      </w:r>
      <w:r>
        <w:br w:type="page"/>
      </w:r>
    </w:p>
    <w:p w14:paraId="5411AA7C" w14:textId="77777777" w:rsidR="00BF2700" w:rsidRDefault="00BF2700" w:rsidP="00BF2700">
      <w:pPr>
        <w:pStyle w:val="Heading1"/>
      </w:pPr>
      <w:bookmarkStart w:id="1" w:name="_Toc284834159"/>
      <w:r>
        <w:lastRenderedPageBreak/>
        <w:t>FT 3.0 Highlights</w:t>
      </w:r>
      <w:bookmarkEnd w:id="1"/>
    </w:p>
    <w:p w14:paraId="44C638FA" w14:textId="77777777" w:rsidR="00BF2700" w:rsidRDefault="00BF2700" w:rsidP="00BF2700">
      <w:r>
        <w:t>The following table provides a list of notable changes between the FTDW 2.0 and FTDW 3.0 Reference Guides.</w:t>
      </w:r>
    </w:p>
    <w:tbl>
      <w:tblPr>
        <w:tblStyle w:val="LightGrid-Accent1"/>
        <w:tblW w:w="0" w:type="auto"/>
        <w:tblLook w:val="04A0" w:firstRow="1" w:lastRow="0" w:firstColumn="1" w:lastColumn="0" w:noHBand="0" w:noVBand="1"/>
      </w:tblPr>
      <w:tblGrid>
        <w:gridCol w:w="2093"/>
        <w:gridCol w:w="3685"/>
        <w:gridCol w:w="3685"/>
      </w:tblGrid>
      <w:tr w:rsidR="00BF2700" w:rsidRPr="00184881" w14:paraId="258868E0" w14:textId="77777777" w:rsidTr="00292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384B82C" w14:textId="77777777" w:rsidR="00BF2700" w:rsidRPr="00184881" w:rsidRDefault="00BF2700" w:rsidP="002927C9">
            <w:pPr>
              <w:jc w:val="center"/>
              <w:rPr>
                <w:color w:val="FFFFFF" w:themeColor="background1"/>
              </w:rPr>
            </w:pPr>
            <w:r>
              <w:t>Description</w:t>
            </w:r>
          </w:p>
        </w:tc>
        <w:tc>
          <w:tcPr>
            <w:tcW w:w="3685" w:type="dxa"/>
          </w:tcPr>
          <w:p w14:paraId="159A324D" w14:textId="77777777" w:rsidR="00BF2700" w:rsidRPr="00184881" w:rsidRDefault="00BF2700" w:rsidP="002927C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t>Note</w:t>
            </w:r>
          </w:p>
        </w:tc>
        <w:tc>
          <w:tcPr>
            <w:tcW w:w="3685" w:type="dxa"/>
          </w:tcPr>
          <w:p w14:paraId="57885DEE" w14:textId="77777777" w:rsidR="00BF2700" w:rsidRPr="00184881" w:rsidRDefault="00BF2700" w:rsidP="002927C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t>Page</w:t>
            </w:r>
          </w:p>
        </w:tc>
      </w:tr>
      <w:tr w:rsidR="00BF2700" w:rsidRPr="00184881" w14:paraId="2B0DDD39"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2C250D" w14:textId="77777777" w:rsidR="00BF2700" w:rsidRPr="00141777" w:rsidRDefault="00BF2700" w:rsidP="002927C9">
            <w:pPr>
              <w:jc w:val="center"/>
              <w:rPr>
                <w:sz w:val="18"/>
                <w:szCs w:val="18"/>
              </w:rPr>
            </w:pPr>
            <w:r>
              <w:rPr>
                <w:sz w:val="18"/>
                <w:szCs w:val="18"/>
              </w:rPr>
              <w:t>FTDW 3.0 Architecture</w:t>
            </w:r>
          </w:p>
        </w:tc>
        <w:tc>
          <w:tcPr>
            <w:tcW w:w="3685" w:type="dxa"/>
          </w:tcPr>
          <w:p w14:paraId="21964F19" w14:textId="77777777" w:rsidR="00BF2700" w:rsidRPr="00184881" w:rsidRDefault="00BF2700"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Basic component architecture for FT 3.0 based systems.</w:t>
            </w:r>
          </w:p>
        </w:tc>
        <w:tc>
          <w:tcPr>
            <w:tcW w:w="3685" w:type="dxa"/>
          </w:tcPr>
          <w:p w14:paraId="1E6530CD" w14:textId="77777777" w:rsidR="00BF2700" w:rsidRPr="00184881" w:rsidRDefault="00657256"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hyperlink w:anchor="_Hardware_Component_Architecture" w:history="1">
              <w:r w:rsidR="00BF2700" w:rsidRPr="00141777">
                <w:rPr>
                  <w:rStyle w:val="Hyperlink"/>
                  <w:color w:val="auto"/>
                  <w:sz w:val="18"/>
                  <w:szCs w:val="18"/>
                </w:rPr>
                <w:t>FT 3.0 Component Architecture</w:t>
              </w:r>
            </w:hyperlink>
          </w:p>
        </w:tc>
      </w:tr>
      <w:tr w:rsidR="00BF2700" w:rsidRPr="00184881" w14:paraId="0AB1F25C" w14:textId="77777777" w:rsidTr="00292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ECA8C0" w14:textId="77777777" w:rsidR="00BF2700" w:rsidRPr="00141777" w:rsidRDefault="00BF2700" w:rsidP="002927C9">
            <w:pPr>
              <w:jc w:val="center"/>
              <w:rPr>
                <w:sz w:val="18"/>
                <w:szCs w:val="18"/>
              </w:rPr>
            </w:pPr>
            <w:r>
              <w:rPr>
                <w:sz w:val="18"/>
                <w:szCs w:val="18"/>
              </w:rPr>
              <w:t>New Memory Guidelines</w:t>
            </w:r>
          </w:p>
        </w:tc>
        <w:tc>
          <w:tcPr>
            <w:tcW w:w="3685" w:type="dxa"/>
          </w:tcPr>
          <w:p w14:paraId="0B12ADD0" w14:textId="77777777" w:rsidR="00BF2700" w:rsidRPr="00184881" w:rsidRDefault="00BF2700" w:rsidP="002927C9">
            <w:pPr>
              <w:ind w:left="459"/>
              <w:contextualSpacing/>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Minimum and maximum tested memory configurations by server socket count.</w:t>
            </w:r>
          </w:p>
        </w:tc>
        <w:tc>
          <w:tcPr>
            <w:tcW w:w="3685" w:type="dxa"/>
          </w:tcPr>
          <w:p w14:paraId="66A2B2CB" w14:textId="77777777" w:rsidR="00BF2700" w:rsidRPr="00184881" w:rsidRDefault="00657256" w:rsidP="002927C9">
            <w:pPr>
              <w:ind w:left="459"/>
              <w:contextualSpacing/>
              <w:cnfStyle w:val="000000010000" w:firstRow="0" w:lastRow="0" w:firstColumn="0" w:lastColumn="0" w:oddVBand="0" w:evenVBand="0" w:oddHBand="0" w:evenHBand="1" w:firstRowFirstColumn="0" w:firstRowLastColumn="0" w:lastRowFirstColumn="0" w:lastRowLastColumn="0"/>
              <w:rPr>
                <w:sz w:val="18"/>
                <w:szCs w:val="18"/>
              </w:rPr>
            </w:pPr>
            <w:hyperlink w:anchor="_Server" w:history="1">
              <w:r w:rsidR="00BF2700" w:rsidRPr="00141777">
                <w:rPr>
                  <w:rStyle w:val="Hyperlink"/>
                  <w:color w:val="auto"/>
                  <w:sz w:val="18"/>
                  <w:szCs w:val="18"/>
                </w:rPr>
                <w:t>Memory</w:t>
              </w:r>
            </w:hyperlink>
          </w:p>
        </w:tc>
      </w:tr>
      <w:tr w:rsidR="00BF2700" w:rsidRPr="00184881" w14:paraId="35FD62D0"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7AB7A60" w14:textId="77777777" w:rsidR="00BF2700" w:rsidRPr="00141777" w:rsidRDefault="00BF2700" w:rsidP="002927C9">
            <w:pPr>
              <w:jc w:val="center"/>
              <w:rPr>
                <w:sz w:val="18"/>
                <w:szCs w:val="18"/>
              </w:rPr>
            </w:pPr>
            <w:r>
              <w:rPr>
                <w:sz w:val="18"/>
                <w:szCs w:val="18"/>
              </w:rPr>
              <w:t>Additional Startup Options</w:t>
            </w:r>
          </w:p>
        </w:tc>
        <w:tc>
          <w:tcPr>
            <w:tcW w:w="3685" w:type="dxa"/>
          </w:tcPr>
          <w:p w14:paraId="3882B59A" w14:textId="77777777" w:rsidR="00BF2700" w:rsidRPr="00184881" w:rsidRDefault="00BF2700"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Notes for T-834 and setting for Lock Pages in Memory.</w:t>
            </w:r>
          </w:p>
        </w:tc>
        <w:tc>
          <w:tcPr>
            <w:tcW w:w="3685" w:type="dxa"/>
          </w:tcPr>
          <w:p w14:paraId="097DB109" w14:textId="77777777" w:rsidR="00BF2700" w:rsidRPr="00184881" w:rsidRDefault="00657256"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hyperlink w:anchor="_Startup_Options" w:history="1">
              <w:r w:rsidR="00BF2700" w:rsidRPr="00A32A46">
                <w:rPr>
                  <w:rStyle w:val="Hyperlink"/>
                  <w:sz w:val="18"/>
                  <w:szCs w:val="18"/>
                </w:rPr>
                <w:t>Startup Options</w:t>
              </w:r>
            </w:hyperlink>
          </w:p>
        </w:tc>
      </w:tr>
      <w:tr w:rsidR="00BF2700" w:rsidRPr="00184881" w14:paraId="44AC3848" w14:textId="77777777" w:rsidTr="00292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4C49669" w14:textId="77777777" w:rsidR="00BF2700" w:rsidRPr="00141777" w:rsidRDefault="00BF2700" w:rsidP="002927C9">
            <w:pPr>
              <w:jc w:val="center"/>
              <w:rPr>
                <w:sz w:val="18"/>
                <w:szCs w:val="18"/>
              </w:rPr>
            </w:pPr>
            <w:r>
              <w:rPr>
                <w:sz w:val="18"/>
                <w:szCs w:val="18"/>
              </w:rPr>
              <w:t>Storage Configuration</w:t>
            </w:r>
          </w:p>
        </w:tc>
        <w:tc>
          <w:tcPr>
            <w:tcW w:w="3685" w:type="dxa"/>
          </w:tcPr>
          <w:p w14:paraId="14CB139D" w14:textId="77777777" w:rsidR="00BF2700" w:rsidRPr="00184881" w:rsidRDefault="00BF2700" w:rsidP="002927C9">
            <w:pPr>
              <w:ind w:left="459"/>
              <w:contextualSpacing/>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RAID1+0 now standard (RAID1 was used in FT 2.0).</w:t>
            </w:r>
          </w:p>
        </w:tc>
        <w:tc>
          <w:tcPr>
            <w:tcW w:w="3685" w:type="dxa"/>
          </w:tcPr>
          <w:p w14:paraId="4DBC1CDD" w14:textId="77777777" w:rsidR="00BF2700" w:rsidRPr="00184881" w:rsidRDefault="00657256" w:rsidP="002927C9">
            <w:pPr>
              <w:ind w:left="459"/>
              <w:contextualSpacing/>
              <w:cnfStyle w:val="000000010000" w:firstRow="0" w:lastRow="0" w:firstColumn="0" w:lastColumn="0" w:oddVBand="0" w:evenVBand="0" w:oddHBand="0" w:evenHBand="1" w:firstRowFirstColumn="0" w:firstRowLastColumn="0" w:lastRowFirstColumn="0" w:lastRowLastColumn="0"/>
              <w:rPr>
                <w:sz w:val="18"/>
                <w:szCs w:val="18"/>
              </w:rPr>
            </w:pPr>
            <w:hyperlink w:anchor="_Storage_System" w:history="1">
              <w:r w:rsidR="00BF2700" w:rsidRPr="00FD195D">
                <w:rPr>
                  <w:rStyle w:val="Hyperlink"/>
                  <w:sz w:val="18"/>
                  <w:szCs w:val="18"/>
                </w:rPr>
                <w:t>Storage System</w:t>
              </w:r>
            </w:hyperlink>
          </w:p>
        </w:tc>
      </w:tr>
      <w:tr w:rsidR="00BF2700" w:rsidRPr="00184881" w14:paraId="7E68FB14"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DF7EE83" w14:textId="77777777" w:rsidR="00BF2700" w:rsidRPr="00141777" w:rsidRDefault="00BF2700" w:rsidP="002927C9">
            <w:pPr>
              <w:jc w:val="center"/>
              <w:rPr>
                <w:sz w:val="18"/>
                <w:szCs w:val="18"/>
              </w:rPr>
            </w:pPr>
            <w:r>
              <w:rPr>
                <w:sz w:val="18"/>
                <w:szCs w:val="18"/>
              </w:rPr>
              <w:t>Evaluating Fragmentation</w:t>
            </w:r>
          </w:p>
        </w:tc>
        <w:tc>
          <w:tcPr>
            <w:tcW w:w="3685" w:type="dxa"/>
          </w:tcPr>
          <w:p w14:paraId="4B85CE96" w14:textId="77777777" w:rsidR="00BF2700" w:rsidRPr="00184881" w:rsidRDefault="00BF2700"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Query provided for evaluating logical fragmentation.</w:t>
            </w:r>
          </w:p>
        </w:tc>
        <w:tc>
          <w:tcPr>
            <w:tcW w:w="3685" w:type="dxa"/>
          </w:tcPr>
          <w:p w14:paraId="675336C4" w14:textId="77777777" w:rsidR="00BF2700" w:rsidRPr="00184881" w:rsidRDefault="00657256"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hyperlink w:anchor="_Extent_Fragmentation" w:history="1">
              <w:r w:rsidR="00BF2700" w:rsidRPr="00A61286">
                <w:rPr>
                  <w:rStyle w:val="Hyperlink"/>
                  <w:sz w:val="18"/>
                  <w:szCs w:val="18"/>
                </w:rPr>
                <w:t>Fragmentation</w:t>
              </w:r>
            </w:hyperlink>
          </w:p>
        </w:tc>
      </w:tr>
      <w:tr w:rsidR="00BF2700" w:rsidRPr="00184881" w14:paraId="53CC5E0E" w14:textId="77777777" w:rsidTr="00292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C753477" w14:textId="77777777" w:rsidR="00BF2700" w:rsidRPr="00141777" w:rsidRDefault="00BF2700" w:rsidP="002927C9">
            <w:pPr>
              <w:jc w:val="center"/>
              <w:rPr>
                <w:sz w:val="18"/>
                <w:szCs w:val="18"/>
              </w:rPr>
            </w:pPr>
            <w:r>
              <w:rPr>
                <w:sz w:val="18"/>
                <w:szCs w:val="18"/>
              </w:rPr>
              <w:t>Loading Data</w:t>
            </w:r>
          </w:p>
        </w:tc>
        <w:tc>
          <w:tcPr>
            <w:tcW w:w="3685" w:type="dxa"/>
          </w:tcPr>
          <w:p w14:paraId="576A78FE" w14:textId="77777777" w:rsidR="00BF2700" w:rsidRPr="00184881" w:rsidRDefault="00BF2700" w:rsidP="002927C9">
            <w:pPr>
              <w:ind w:left="459"/>
              <w:contextualSpacing/>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Additional options for CI table loads.</w:t>
            </w:r>
          </w:p>
        </w:tc>
        <w:tc>
          <w:tcPr>
            <w:tcW w:w="3685" w:type="dxa"/>
          </w:tcPr>
          <w:p w14:paraId="2AB09838" w14:textId="77777777" w:rsidR="00BF2700" w:rsidRPr="00184881" w:rsidRDefault="00657256" w:rsidP="002927C9">
            <w:pPr>
              <w:ind w:left="459"/>
              <w:contextualSpacing/>
              <w:cnfStyle w:val="000000010000" w:firstRow="0" w:lastRow="0" w:firstColumn="0" w:lastColumn="0" w:oddVBand="0" w:evenVBand="0" w:oddHBand="0" w:evenHBand="1" w:firstRowFirstColumn="0" w:firstRowLastColumn="0" w:lastRowFirstColumn="0" w:lastRowLastColumn="0"/>
              <w:rPr>
                <w:sz w:val="18"/>
                <w:szCs w:val="18"/>
              </w:rPr>
            </w:pPr>
            <w:hyperlink w:anchor="_Loading_Data" w:history="1">
              <w:r w:rsidR="00BF2700" w:rsidRPr="00331043">
                <w:rPr>
                  <w:rStyle w:val="Hyperlink"/>
                  <w:sz w:val="18"/>
                  <w:szCs w:val="18"/>
                </w:rPr>
                <w:t>Loading Data</w:t>
              </w:r>
            </w:hyperlink>
          </w:p>
        </w:tc>
      </w:tr>
      <w:tr w:rsidR="00BF2700" w:rsidRPr="00184881" w14:paraId="3CDECF67"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2412463" w14:textId="77777777" w:rsidR="00BF2700" w:rsidRDefault="00BF2700" w:rsidP="002927C9">
            <w:pPr>
              <w:jc w:val="center"/>
              <w:rPr>
                <w:sz w:val="18"/>
                <w:szCs w:val="18"/>
              </w:rPr>
            </w:pPr>
            <w:r>
              <w:rPr>
                <w:sz w:val="18"/>
                <w:szCs w:val="18"/>
              </w:rPr>
              <w:t>MCR</w:t>
            </w:r>
          </w:p>
        </w:tc>
        <w:tc>
          <w:tcPr>
            <w:tcW w:w="3685" w:type="dxa"/>
          </w:tcPr>
          <w:p w14:paraId="781DD9FB" w14:textId="77777777" w:rsidR="00BF2700" w:rsidRDefault="00BF2700"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detail and explanation of FTDW MCR Rating.</w:t>
            </w:r>
          </w:p>
        </w:tc>
        <w:tc>
          <w:tcPr>
            <w:tcW w:w="3685" w:type="dxa"/>
          </w:tcPr>
          <w:p w14:paraId="2C40613B" w14:textId="77777777" w:rsidR="00BF2700" w:rsidRDefault="00657256" w:rsidP="002927C9">
            <w:pPr>
              <w:ind w:left="459"/>
              <w:contextualSpacing/>
              <w:cnfStyle w:val="000000100000" w:firstRow="0" w:lastRow="0" w:firstColumn="0" w:lastColumn="0" w:oddVBand="0" w:evenVBand="0" w:oddHBand="1" w:evenHBand="0" w:firstRowFirstColumn="0" w:firstRowLastColumn="0" w:lastRowFirstColumn="0" w:lastRowLastColumn="0"/>
              <w:rPr>
                <w:sz w:val="18"/>
                <w:szCs w:val="18"/>
              </w:rPr>
            </w:pPr>
            <w:hyperlink w:anchor="_What_is_MCR" w:history="1">
              <w:r w:rsidR="00BF2700" w:rsidRPr="00FE5D95">
                <w:rPr>
                  <w:rStyle w:val="Hyperlink"/>
                  <w:sz w:val="18"/>
                  <w:szCs w:val="18"/>
                </w:rPr>
                <w:t>What is MCR</w:t>
              </w:r>
            </w:hyperlink>
            <w:r w:rsidR="00BF2700">
              <w:t>?</w:t>
            </w:r>
          </w:p>
        </w:tc>
      </w:tr>
    </w:tbl>
    <w:p w14:paraId="4AC77A62" w14:textId="77777777" w:rsidR="00BF2700" w:rsidRPr="007C7522" w:rsidRDefault="00BF2700" w:rsidP="00BF2700"/>
    <w:p w14:paraId="61AEE4E1" w14:textId="77777777" w:rsidR="00BF2700" w:rsidRPr="00776613" w:rsidRDefault="00BF2700" w:rsidP="00BF2700">
      <w:pPr>
        <w:pStyle w:val="Heading1"/>
      </w:pPr>
      <w:bookmarkStart w:id="2" w:name="_Toc284834160"/>
      <w:r w:rsidRPr="00776613">
        <w:t>Introduction</w:t>
      </w:r>
      <w:bookmarkEnd w:id="2"/>
    </w:p>
    <w:p w14:paraId="0D8F7F6E" w14:textId="77777777" w:rsidR="00BF2700" w:rsidRPr="00776613" w:rsidRDefault="00BF2700" w:rsidP="00BF2700">
      <w:pPr>
        <w:rPr>
          <w:rFonts w:cs="Arial"/>
        </w:rPr>
      </w:pPr>
      <w:r w:rsidRPr="00776613">
        <w:rPr>
          <w:rFonts w:cs="Arial"/>
        </w:rPr>
        <w:t>This document define</w:t>
      </w:r>
      <w:r>
        <w:rPr>
          <w:rFonts w:cs="Arial"/>
        </w:rPr>
        <w:t>s</w:t>
      </w:r>
      <w:r w:rsidRPr="00776613">
        <w:rPr>
          <w:rFonts w:cs="Arial"/>
        </w:rPr>
        <w:t xml:space="preserve"> </w:t>
      </w:r>
      <w:r>
        <w:rPr>
          <w:rFonts w:cs="Arial"/>
        </w:rPr>
        <w:t>the component architecture and methodology for the SQL Server Fast Track Data Warehouse (FTDW) program</w:t>
      </w:r>
      <w:r w:rsidRPr="00776613">
        <w:rPr>
          <w:rFonts w:cs="Arial"/>
        </w:rPr>
        <w:t xml:space="preserve">. The result of this </w:t>
      </w:r>
      <w:r>
        <w:rPr>
          <w:rFonts w:cs="Arial"/>
        </w:rPr>
        <w:t xml:space="preserve">approach is the validation of a </w:t>
      </w:r>
      <w:r w:rsidRPr="00776613">
        <w:rPr>
          <w:rFonts w:cs="Arial"/>
        </w:rPr>
        <w:t xml:space="preserve">minimal </w:t>
      </w:r>
      <w:r>
        <w:rPr>
          <w:rFonts w:cs="Arial"/>
        </w:rPr>
        <w:t xml:space="preserve">Microsoft SQL Server data management software </w:t>
      </w:r>
      <w:r w:rsidRPr="00776613">
        <w:rPr>
          <w:rFonts w:cs="Arial"/>
        </w:rPr>
        <w:t>configuration, inclu</w:t>
      </w:r>
      <w:r>
        <w:rPr>
          <w:rFonts w:cs="Arial"/>
        </w:rPr>
        <w:t xml:space="preserve">ding </w:t>
      </w:r>
      <w:r w:rsidRPr="00776613">
        <w:rPr>
          <w:rFonts w:cs="Arial"/>
        </w:rPr>
        <w:t xml:space="preserve">software and hardware, required to achieve and maintain a baseline level of “out of box” scalable performance when deploying </w:t>
      </w:r>
      <w:r>
        <w:rPr>
          <w:rFonts w:cs="Arial"/>
        </w:rPr>
        <w:t xml:space="preserve">a </w:t>
      </w:r>
      <w:r w:rsidRPr="00776613">
        <w:rPr>
          <w:rFonts w:cs="Arial"/>
        </w:rPr>
        <w:t xml:space="preserve">SQL Server </w:t>
      </w:r>
      <w:r>
        <w:rPr>
          <w:rFonts w:cs="Arial"/>
        </w:rPr>
        <w:t>d</w:t>
      </w:r>
      <w:r w:rsidRPr="00776613">
        <w:rPr>
          <w:rFonts w:cs="Arial"/>
        </w:rPr>
        <w:t>ata</w:t>
      </w:r>
      <w:r>
        <w:rPr>
          <w:rFonts w:cs="Arial"/>
        </w:rPr>
        <w:t>base for many data warehousing workloads.</w:t>
      </w:r>
    </w:p>
    <w:p w14:paraId="551863D2" w14:textId="77777777" w:rsidR="00BF2700" w:rsidRDefault="00BF2700" w:rsidP="00BF2700">
      <w:pPr>
        <w:pStyle w:val="Heading2"/>
      </w:pPr>
      <w:bookmarkStart w:id="3" w:name="_Toc284834161"/>
      <w:r>
        <w:t>Audience</w:t>
      </w:r>
      <w:bookmarkEnd w:id="3"/>
    </w:p>
    <w:p w14:paraId="23BA465C" w14:textId="77777777" w:rsidR="00BF2700" w:rsidRDefault="00BF2700" w:rsidP="00BF2700">
      <w:pPr>
        <w:rPr>
          <w:rFonts w:cs="Arial"/>
        </w:rPr>
      </w:pPr>
      <w:r w:rsidRPr="00776613">
        <w:rPr>
          <w:rFonts w:cs="Arial"/>
        </w:rPr>
        <w:t>The target audience for this document consists of IT planners, architects, DBAs, CIO</w:t>
      </w:r>
      <w:r>
        <w:rPr>
          <w:rFonts w:cs="Arial"/>
        </w:rPr>
        <w:t>s</w:t>
      </w:r>
      <w:r w:rsidRPr="00776613">
        <w:rPr>
          <w:rFonts w:cs="Arial"/>
        </w:rPr>
        <w:t>, CTO</w:t>
      </w:r>
      <w:r>
        <w:rPr>
          <w:rFonts w:cs="Arial"/>
        </w:rPr>
        <w:t>s,</w:t>
      </w:r>
      <w:r w:rsidRPr="00776613">
        <w:rPr>
          <w:rFonts w:cs="Arial"/>
        </w:rPr>
        <w:t xml:space="preserve"> and </w:t>
      </w:r>
      <w:r w:rsidRPr="009A3F06">
        <w:t>business</w:t>
      </w:r>
      <w:r w:rsidRPr="00776613">
        <w:rPr>
          <w:rFonts w:cs="Arial"/>
        </w:rPr>
        <w:t xml:space="preserve"> intelligence (BI) users with an interest in options for their BI applications and in the factors that affect those options.</w:t>
      </w:r>
    </w:p>
    <w:p w14:paraId="3C29ED72" w14:textId="77777777" w:rsidR="00BF2700" w:rsidRDefault="00BF2700" w:rsidP="00BF2700">
      <w:pPr>
        <w:pStyle w:val="Heading1"/>
      </w:pPr>
      <w:bookmarkStart w:id="4" w:name="_Toc284834162"/>
      <w:r>
        <w:t>Fast Track Data Warehouse</w:t>
      </w:r>
      <w:bookmarkEnd w:id="4"/>
      <w:r>
        <w:t xml:space="preserve"> </w:t>
      </w:r>
    </w:p>
    <w:p w14:paraId="2F8706D5" w14:textId="77777777" w:rsidR="00BF2700" w:rsidRDefault="00BF2700" w:rsidP="00BF2700">
      <w:r>
        <w:t xml:space="preserve">The SQL Server Fast Track Data Warehouse initiative provides a basic methodology and concrete examples for the deployment of balanced hardware and database configuration for a data warehousing workload. </w:t>
      </w:r>
    </w:p>
    <w:p w14:paraId="6A1DD9BD" w14:textId="77777777" w:rsidR="00BF2700" w:rsidRDefault="00BF2700" w:rsidP="00BF2700">
      <w:r>
        <w:t xml:space="preserve">Balance is measured across the key components of a SQL Server installation; storage, server, application settings, and configuration settings for each component are evaluated. The goal is to achieve an efficient out-of-the-box balance between SQL Server data processing capability and </w:t>
      </w:r>
      <w:r>
        <w:lastRenderedPageBreak/>
        <w:t>aggregate hardware I/O throughput. Ideally, minimum storage is purchased to satisfy customer storage requirements and provide sufficient disk I/O for SQL Server to achieve a benchmarked maximum data processing rate.</w:t>
      </w:r>
    </w:p>
    <w:p w14:paraId="163728FD" w14:textId="77777777" w:rsidR="00BF2700" w:rsidRDefault="00BF2700" w:rsidP="00BF2700">
      <w:pPr>
        <w:pStyle w:val="Heading3"/>
      </w:pPr>
      <w:r>
        <w:t>Fast Track</w:t>
      </w:r>
    </w:p>
    <w:p w14:paraId="5D2C3904" w14:textId="77777777" w:rsidR="00BF2700" w:rsidRPr="00693813" w:rsidRDefault="00BF2700" w:rsidP="00BF2700">
      <w:r>
        <w:t>The Fast Track designation signifies a component hardware configuration that conforms to the principles of the FTDW reference architecture (RA). The reference architecture is defined by a workload and a core set of configuration, validation, and database best practices guidelines. The following are key principles of Fast Track DW reference architectures:</w:t>
      </w:r>
    </w:p>
    <w:p w14:paraId="049436C2" w14:textId="77777777" w:rsidR="00BF2700" w:rsidRDefault="00BF2700" w:rsidP="00BF2700">
      <w:pPr>
        <w:pStyle w:val="ListParagraph"/>
        <w:numPr>
          <w:ilvl w:val="0"/>
          <w:numId w:val="9"/>
        </w:numPr>
      </w:pPr>
      <w:r>
        <w:t>Detailed and validated hardware component specifications</w:t>
      </w:r>
    </w:p>
    <w:p w14:paraId="45055DF5" w14:textId="77777777" w:rsidR="00BF2700" w:rsidRDefault="00BF2700" w:rsidP="00BF2700">
      <w:pPr>
        <w:pStyle w:val="ListParagraph"/>
        <w:numPr>
          <w:ilvl w:val="0"/>
          <w:numId w:val="9"/>
        </w:numPr>
      </w:pPr>
      <w:r>
        <w:t>Validated methodology for database and hardware component evaluation</w:t>
      </w:r>
    </w:p>
    <w:p w14:paraId="79F263A8" w14:textId="77777777" w:rsidR="00BF2700" w:rsidRDefault="00BF2700" w:rsidP="00BF2700">
      <w:pPr>
        <w:pStyle w:val="ListParagraph"/>
        <w:numPr>
          <w:ilvl w:val="0"/>
          <w:numId w:val="9"/>
        </w:numPr>
      </w:pPr>
      <w:r>
        <w:t>Component architecture balance between database capability and hardware bandwidth</w:t>
      </w:r>
    </w:p>
    <w:p w14:paraId="62E61432" w14:textId="77777777" w:rsidR="00BF2700" w:rsidRDefault="00BF2700" w:rsidP="00BF2700">
      <w:pPr>
        <w:pStyle w:val="Heading3"/>
      </w:pPr>
      <w:r>
        <w:t>Value Proposition</w:t>
      </w:r>
    </w:p>
    <w:p w14:paraId="2FA1BF38" w14:textId="77777777" w:rsidR="00BF2700" w:rsidRDefault="00BF2700" w:rsidP="00BF2700">
      <w:r>
        <w:t>The following principles create the foundation of the FTDW value proposition:</w:t>
      </w:r>
    </w:p>
    <w:p w14:paraId="6B31A740" w14:textId="77777777" w:rsidR="00BF2700" w:rsidRDefault="00BF2700" w:rsidP="00BF2700">
      <w:pPr>
        <w:pStyle w:val="ListParagraph"/>
        <w:numPr>
          <w:ilvl w:val="0"/>
          <w:numId w:val="8"/>
        </w:numPr>
      </w:pPr>
      <w:r>
        <w:rPr>
          <w:b/>
        </w:rPr>
        <w:t>Pre</w:t>
      </w:r>
      <w:r w:rsidRPr="00B0173A">
        <w:rPr>
          <w:b/>
        </w:rPr>
        <w:t>determined balance across key system components.</w:t>
      </w:r>
      <w:r>
        <w:t xml:space="preserve"> This minimizes the risk of overspending for CPU or storage resources that will never be realized at the application level.</w:t>
      </w:r>
      <w:r w:rsidRPr="00DC1524">
        <w:t xml:space="preserve"> </w:t>
      </w:r>
    </w:p>
    <w:p w14:paraId="6AEA2F45" w14:textId="77777777" w:rsidR="00BF2700" w:rsidRDefault="00BF2700" w:rsidP="00BF2700">
      <w:pPr>
        <w:pStyle w:val="ListParagraph"/>
        <w:numPr>
          <w:ilvl w:val="0"/>
          <w:numId w:val="8"/>
        </w:numPr>
      </w:pPr>
      <w:r w:rsidRPr="00B0173A">
        <w:rPr>
          <w:b/>
        </w:rPr>
        <w:t>Predictable out-of-the-box performance.</w:t>
      </w:r>
      <w:r>
        <w:t xml:space="preserve"> Fast Track configurations are built to capacity that already matches the capabilities of the SQL Server application for a selected server and workload.</w:t>
      </w:r>
    </w:p>
    <w:p w14:paraId="35244EFF" w14:textId="77777777" w:rsidR="00BF2700" w:rsidRDefault="00BF2700" w:rsidP="00BF2700">
      <w:pPr>
        <w:pStyle w:val="ListParagraph"/>
        <w:numPr>
          <w:ilvl w:val="0"/>
          <w:numId w:val="10"/>
        </w:numPr>
      </w:pPr>
      <w:r>
        <w:rPr>
          <w:b/>
        </w:rPr>
        <w:t>Workload-</w:t>
      </w:r>
      <w:r w:rsidRPr="00B0173A">
        <w:rPr>
          <w:b/>
        </w:rPr>
        <w:t>centric.</w:t>
      </w:r>
      <w:r>
        <w:t xml:space="preserve"> Rather than being a one-size-fits-all approach to database configuration, the FTDW approach is aligned specifically with a data warehouse use case.</w:t>
      </w:r>
    </w:p>
    <w:p w14:paraId="4CF759E3" w14:textId="77777777" w:rsidR="00BF2700" w:rsidRDefault="00BF2700" w:rsidP="00BF2700">
      <w:pPr>
        <w:pStyle w:val="Heading1"/>
      </w:pPr>
      <w:bookmarkStart w:id="5" w:name="_Toc284834163"/>
      <w:r>
        <w:t>Methodology</w:t>
      </w:r>
      <w:bookmarkEnd w:id="5"/>
    </w:p>
    <w:p w14:paraId="48403DB8" w14:textId="77777777" w:rsidR="00BF2700" w:rsidRPr="00310524" w:rsidRDefault="00BF2700" w:rsidP="00BF2700">
      <w:pPr>
        <w:pStyle w:val="Heading3"/>
      </w:pPr>
      <w:r>
        <w:t>Holistic Component Architecture</w:t>
      </w:r>
    </w:p>
    <w:p w14:paraId="638C9708" w14:textId="77777777" w:rsidR="00BF2700" w:rsidRDefault="00BF2700" w:rsidP="00BF2700">
      <w:pPr>
        <w:rPr>
          <w:rFonts w:cs="Arial"/>
        </w:rPr>
      </w:pPr>
      <w:r>
        <w:rPr>
          <w:rFonts w:cs="Arial"/>
        </w:rPr>
        <w:t>SQL Server FTDW reference architectures provide a practical framework for balancing the complex relationships between key components of database system architecture. Referred to generically as a “stack”, the component architecture is illustrated in Figure 1.</w:t>
      </w:r>
    </w:p>
    <w:p w14:paraId="238AE9EC" w14:textId="77777777" w:rsidR="00BF2700" w:rsidRDefault="00BF2700" w:rsidP="00BF2700">
      <w:pPr>
        <w:rPr>
          <w:rFonts w:cs="Arial"/>
        </w:rPr>
      </w:pPr>
      <w:r>
        <w:rPr>
          <w:rFonts w:cs="Arial"/>
          <w:noProof/>
        </w:rPr>
        <w:lastRenderedPageBreak/>
        <w:drawing>
          <wp:inline distT="0" distB="0" distL="0" distR="0" wp14:anchorId="6EDB6A2E" wp14:editId="728563C3">
            <wp:extent cx="4667250" cy="2917872"/>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69207" cy="2919095"/>
                    </a:xfrm>
                    <a:prstGeom prst="rect">
                      <a:avLst/>
                    </a:prstGeom>
                    <a:noFill/>
                  </pic:spPr>
                </pic:pic>
              </a:graphicData>
            </a:graphic>
          </wp:inline>
        </w:drawing>
      </w:r>
    </w:p>
    <w:p w14:paraId="233CB84F" w14:textId="77777777" w:rsidR="00BF2700" w:rsidRPr="00044A82" w:rsidRDefault="00BF2700" w:rsidP="00BF2700">
      <w:r w:rsidRPr="00044A82">
        <w:rPr>
          <w:b/>
        </w:rPr>
        <w:t>Figure 1:</w:t>
      </w:r>
      <w:r w:rsidRPr="00044A82">
        <w:t xml:space="preserve"> Example Fast Track database component architecture</w:t>
      </w:r>
    </w:p>
    <w:p w14:paraId="6B7783AA" w14:textId="77777777" w:rsidR="00BF2700" w:rsidRPr="000F120E" w:rsidRDefault="00BF2700" w:rsidP="00BF2700">
      <w:pPr>
        <w:rPr>
          <w:rFonts w:cs="Arial"/>
        </w:rPr>
      </w:pPr>
      <w:r>
        <w:rPr>
          <w:rFonts w:cs="Arial"/>
        </w:rPr>
        <w:t>Each component of the stack is a link in a chain of operations necessary to process data in SQL Server. Evaluating the stack as an integrated system enables benchmarking that establishes real bandwidth for each component. This ensures that individual components provide sufficient throughput to match the capabilities of the SQL Server application for the prescribed stack.</w:t>
      </w:r>
    </w:p>
    <w:p w14:paraId="63031036" w14:textId="77777777" w:rsidR="00BF2700" w:rsidRDefault="00BF2700" w:rsidP="00BF2700">
      <w:pPr>
        <w:pStyle w:val="Heading3"/>
      </w:pPr>
      <w:r>
        <w:t>Workload Optimized</w:t>
      </w:r>
    </w:p>
    <w:p w14:paraId="0791C069" w14:textId="77777777" w:rsidR="00BF2700" w:rsidRDefault="00BF2700" w:rsidP="00BF2700">
      <w:pPr>
        <w:rPr>
          <w:rFonts w:cs="Arial"/>
        </w:rPr>
      </w:pPr>
      <w:r>
        <w:rPr>
          <w:rFonts w:cs="Arial"/>
        </w:rPr>
        <w:t>Different database application workloads can require very different component architectures to achieve optimal resource balance. A classic example of this can be found in the contrast between discrete lookup-based OLTP workloads and scan-intensive analytical data warehousing. OLTP use cases are heavily indexed to support low latency retrieval of small numbers of rows from relatively large data sets. These types of database operations induce significant disk head movement and generate classic random I/O scan patterns. Analytical use cases, such as data warehousing, can involve much larger data requests and benefit greatly from the increased total throughput potential of sequential disk scans.</w:t>
      </w:r>
    </w:p>
    <w:p w14:paraId="7D8F38FC" w14:textId="77777777" w:rsidR="00BF2700" w:rsidRDefault="00BF2700" w:rsidP="00BF2700">
      <w:pPr>
        <w:rPr>
          <w:rFonts w:cs="Arial"/>
        </w:rPr>
      </w:pPr>
      <w:r>
        <w:rPr>
          <w:rFonts w:cs="Arial"/>
        </w:rPr>
        <w:t>For these contrasting use cases, the implications for a balanced component stack are significant. Average, per-disk random I/O scan rates for modern SAS disk drives can be a factor of 10 times slower when compared to sequential scan rates for the same hardware. With Fast Track data warehousing workloads an emphasis is placed on achieving consistently high I/O scan rates (MB/s) rather than the more traditional focus on operations per second (IOPS).</w:t>
      </w:r>
    </w:p>
    <w:p w14:paraId="7A8A0844" w14:textId="77777777" w:rsidR="00BF2700" w:rsidRDefault="00BF2700" w:rsidP="00BF2700">
      <w:r>
        <w:t>The challenge of very different workloads is addressed by clearly defining the attributes of customer workloads. SQL Server Fast Track workloads comprise a qualitative list of attributes that uniquely define a common database application use case. In addition, each workload is represented by quantitative measures including standard benchmark queries. Workload-specific benchmarking is used to validate database configuration, best practices, and component hardware recommendations.</w:t>
      </w:r>
    </w:p>
    <w:p w14:paraId="1C6C0820" w14:textId="77777777" w:rsidR="00BF2700" w:rsidRDefault="00BF2700" w:rsidP="00BF2700">
      <w:pPr>
        <w:pStyle w:val="Heading3"/>
      </w:pPr>
      <w:r>
        <w:lastRenderedPageBreak/>
        <w:t>Validated SQL Server Fast Track Reference Configurations</w:t>
      </w:r>
    </w:p>
    <w:p w14:paraId="77806AFE" w14:textId="77777777" w:rsidR="00BF2700" w:rsidRPr="00AF53E5" w:rsidRDefault="00BF2700" w:rsidP="00BF2700">
      <w:r>
        <w:t>All published Fast Track reference configurations are validated as conforming to the set of principles and guidelines provided in this reference guide. Examples of this process can be found in later sections of this document.</w:t>
      </w:r>
    </w:p>
    <w:p w14:paraId="14959B65" w14:textId="77777777" w:rsidR="00BF2700" w:rsidRPr="004977F3" w:rsidRDefault="00BF2700" w:rsidP="00BF2700">
      <w:pPr>
        <w:pStyle w:val="Heading3"/>
      </w:pPr>
      <w:r>
        <w:t>Summary</w:t>
      </w:r>
    </w:p>
    <w:p w14:paraId="4A7734C0" w14:textId="77777777" w:rsidR="00BF2700" w:rsidRDefault="00BF2700" w:rsidP="00BF2700">
      <w:pPr>
        <w:rPr>
          <w:rFonts w:cs="Arial"/>
        </w:rPr>
      </w:pPr>
      <w:r>
        <w:rPr>
          <w:rFonts w:cs="Arial"/>
        </w:rPr>
        <w:t>The SQL Server FTDW specification described in this reference guide is workload-centric and component balanced. This approach acknowledges that one-size-fits-all provisioning can be inefficient and costly for many database use cases. Increasingly complex business requirements coupled with rapidly scaling data volumes demand a more realistic approach. By presenting a combination of prescriptive reference architectures, benchmarking of hardware and software components, and clearly targeted workloads, this document provides a practical approach to achieving balanced component architectures.</w:t>
      </w:r>
    </w:p>
    <w:p w14:paraId="5A2F9964" w14:textId="77777777" w:rsidR="00BF2700" w:rsidRDefault="00BF2700" w:rsidP="00BF2700">
      <w:pPr>
        <w:pStyle w:val="Heading1"/>
      </w:pPr>
      <w:bookmarkStart w:id="6" w:name="_Toc284834164"/>
      <w:r w:rsidRPr="00BD6D8C">
        <w:t>FTDW Workload</w:t>
      </w:r>
      <w:bookmarkEnd w:id="6"/>
    </w:p>
    <w:p w14:paraId="6F1C83E4" w14:textId="77777777" w:rsidR="00BF2700" w:rsidRDefault="00BF2700" w:rsidP="00BF2700">
      <w:pPr>
        <w:pStyle w:val="Heading3"/>
      </w:pPr>
      <w:r>
        <w:t>Data Warehouse Workload Patterns</w:t>
      </w:r>
    </w:p>
    <w:p w14:paraId="33FCB79E" w14:textId="77777777" w:rsidR="00BF2700" w:rsidRPr="00CE4C0D" w:rsidRDefault="00BF2700" w:rsidP="00BF2700">
      <w:r w:rsidRPr="00CE4C0D">
        <w:t>Typically questions asked of data warehouses require access to large volumes of data. Data warehouses need to support a broad range of queries from a wide-ranging audience (</w:t>
      </w:r>
      <w:r>
        <w:t xml:space="preserve">for example: </w:t>
      </w:r>
      <w:r w:rsidRPr="00CE4C0D">
        <w:t xml:space="preserve">finance, marketing, operations, </w:t>
      </w:r>
      <w:r>
        <w:t xml:space="preserve">and </w:t>
      </w:r>
      <w:r w:rsidRPr="00CE4C0D">
        <w:t xml:space="preserve">research teams). </w:t>
      </w:r>
    </w:p>
    <w:p w14:paraId="011CF08F" w14:textId="77777777" w:rsidR="00BF2700" w:rsidRPr="00CE4C0D" w:rsidRDefault="00BF2700" w:rsidP="00BF2700">
      <w:r w:rsidRPr="00CE4C0D">
        <w:t xml:space="preserve">In order to overcome the limitations of traditional </w:t>
      </w:r>
      <w:r>
        <w:t>data warehouse</w:t>
      </w:r>
      <w:r w:rsidRPr="00CE4C0D">
        <w:t xml:space="preserve"> systems, organizations have resorted to using traditional RDBMS optimization techniques s</w:t>
      </w:r>
      <w:r>
        <w:t>uch as building indexes, pre-</w:t>
      </w:r>
      <w:r w:rsidRPr="00CE4C0D">
        <w:t>aggregati</w:t>
      </w:r>
      <w:r>
        <w:t>ng data,</w:t>
      </w:r>
      <w:r w:rsidRPr="00CE4C0D">
        <w:t xml:space="preserve"> and limiting access to lower levels of</w:t>
      </w:r>
      <w:r>
        <w:t xml:space="preserve"> </w:t>
      </w:r>
      <w:r w:rsidRPr="00CE4C0D">
        <w:t>data. The maintenance overheads associated with these approaches can often overwhelm even generous batch windows. As a data warehouse becomes more mature and the audience grows</w:t>
      </w:r>
      <w:r>
        <w:t>, supporting these use-</w:t>
      </w:r>
      <w:r w:rsidRPr="00CE4C0D">
        <w:t xml:space="preserve">case specific optimizations becomes even more challenging, particularly in the case of late-arriving data or data corrections. </w:t>
      </w:r>
    </w:p>
    <w:p w14:paraId="4E454E5A" w14:textId="77777777" w:rsidR="00BF2700" w:rsidRPr="00CE4C0D" w:rsidRDefault="00BF2700" w:rsidP="00BF2700">
      <w:r w:rsidRPr="00CE4C0D">
        <w:t xml:space="preserve">A common solution to this challenge is to </w:t>
      </w:r>
      <w:r>
        <w:t>simply add drives</w:t>
      </w:r>
      <w:r w:rsidRPr="00CE4C0D">
        <w:t>; it is not uncommon to see hu</w:t>
      </w:r>
      <w:r>
        <w:t>ndreds of disks supporting a relatively small data warehouse in an attempt</w:t>
      </w:r>
      <w:r w:rsidRPr="00CE4C0D">
        <w:t xml:space="preserve"> to overcome the I/O performance limitations </w:t>
      </w:r>
      <w:r>
        <w:t xml:space="preserve">of mapping a seek-based I/O infrastructure to a scan based workload. This is frequently seen in large </w:t>
      </w:r>
      <w:r w:rsidRPr="00CE4C0D">
        <w:t>shared SAN</w:t>
      </w:r>
      <w:r>
        <w:t xml:space="preserve"> environments that are traditionally seek optimized</w:t>
      </w:r>
      <w:r w:rsidRPr="00CE4C0D">
        <w:t xml:space="preserve">. </w:t>
      </w:r>
      <w:r>
        <w:t xml:space="preserve">Many storage I/O reference patterns and </w:t>
      </w:r>
      <w:r w:rsidRPr="00CE4C0D">
        <w:t>techniques</w:t>
      </w:r>
      <w:r>
        <w:t xml:space="preserve"> that </w:t>
      </w:r>
      <w:r w:rsidRPr="00CE4C0D">
        <w:t>encourage random I/O access, introducing disk latency and reducing the overall storage subsystem throughput</w:t>
      </w:r>
      <w:r>
        <w:t xml:space="preserve"> for a data warehouse workload that is scan intensive.</w:t>
      </w:r>
    </w:p>
    <w:p w14:paraId="53DBB992" w14:textId="77777777" w:rsidR="00BF2700" w:rsidRDefault="00BF2700" w:rsidP="00BF2700">
      <w:r w:rsidRPr="00CE4C0D">
        <w:t>Fast Track D</w:t>
      </w:r>
      <w:r>
        <w:t xml:space="preserve">ata </w:t>
      </w:r>
      <w:r w:rsidRPr="00CE4C0D">
        <w:t>W</w:t>
      </w:r>
      <w:r>
        <w:t>arehouse</w:t>
      </w:r>
      <w:r w:rsidRPr="00CE4C0D">
        <w:t xml:space="preserve"> is a different way of optimizing for data warehouse workloads. </w:t>
      </w:r>
      <w:r>
        <w:t xml:space="preserve">By aligning database files and configuration with efficient disk scan (rather than seek) access, </w:t>
      </w:r>
      <w:r w:rsidRPr="00CE4C0D">
        <w:t>performance achieved from individual disk</w:t>
      </w:r>
      <w:r>
        <w:t xml:space="preserve"> can be many factors </w:t>
      </w:r>
      <w:r w:rsidRPr="00CE4C0D">
        <w:t>higher</w:t>
      </w:r>
      <w:r>
        <w:t>.</w:t>
      </w:r>
      <w:r w:rsidRPr="00CE4C0D">
        <w:t xml:space="preserve"> The </w:t>
      </w:r>
      <w:r>
        <w:t xml:space="preserve">resulting per-disk </w:t>
      </w:r>
      <w:r w:rsidRPr="00CE4C0D">
        <w:t xml:space="preserve">performance </w:t>
      </w:r>
      <w:r>
        <w:t xml:space="preserve">increase </w:t>
      </w:r>
      <w:r w:rsidRPr="00CE4C0D">
        <w:t xml:space="preserve">reduces the number of disks </w:t>
      </w:r>
      <w:r>
        <w:t xml:space="preserve">needed </w:t>
      </w:r>
      <w:r w:rsidRPr="00CE4C0D">
        <w:t xml:space="preserve">to </w:t>
      </w:r>
      <w:r>
        <w:t xml:space="preserve">generate sufficient I/O throughput to satisfy the ability of SQL Server to process data for </w:t>
      </w:r>
      <w:r w:rsidRPr="00CE4C0D">
        <w:t>a given workload.</w:t>
      </w:r>
      <w:r>
        <w:t xml:space="preserve"> </w:t>
      </w:r>
      <w:r w:rsidRPr="00CE4C0D">
        <w:t xml:space="preserve">Furthermore, </w:t>
      </w:r>
      <w:r>
        <w:t>some index-based optimization techniques used to improve disk seek access can be avoided</w:t>
      </w:r>
      <w:r w:rsidRPr="00CE4C0D">
        <w:t xml:space="preserve">. </w:t>
      </w:r>
    </w:p>
    <w:p w14:paraId="2F6B0A67" w14:textId="77777777" w:rsidR="00BF2700" w:rsidRPr="004F01BD" w:rsidRDefault="00BF2700" w:rsidP="00BF2700">
      <w:r w:rsidRPr="00CE4C0D">
        <w:lastRenderedPageBreak/>
        <w:t>When considering workloads for Fast Track D</w:t>
      </w:r>
      <w:r>
        <w:t xml:space="preserve">ata </w:t>
      </w:r>
      <w:r w:rsidRPr="00CE4C0D">
        <w:t>W</w:t>
      </w:r>
      <w:r>
        <w:t>arehouse</w:t>
      </w:r>
      <w:r w:rsidRPr="00CE4C0D">
        <w:t xml:space="preserve"> based systems, the data warehouse architect should consider not only whether the current data warehouse design fits the FTDW workload, but whether the data warehouse could benefit </w:t>
      </w:r>
      <w:r>
        <w:t>if</w:t>
      </w:r>
      <w:r w:rsidRPr="00CE4C0D">
        <w:t xml:space="preserve"> the </w:t>
      </w:r>
      <w:r>
        <w:t xml:space="preserve">FTDW </w:t>
      </w:r>
      <w:r w:rsidRPr="00CE4C0D">
        <w:t>best practices outlined in this document</w:t>
      </w:r>
      <w:r>
        <w:t xml:space="preserve"> are adopted.</w:t>
      </w:r>
      <w:r w:rsidRPr="00CE4C0D">
        <w:t xml:space="preserve"> </w:t>
      </w:r>
    </w:p>
    <w:p w14:paraId="387AEEA1" w14:textId="77777777" w:rsidR="00BF2700" w:rsidRPr="009D358C" w:rsidRDefault="00BF2700" w:rsidP="00BF2700">
      <w:pPr>
        <w:pStyle w:val="Heading3"/>
      </w:pPr>
      <w:r>
        <w:t>Workload Evaluation</w:t>
      </w:r>
    </w:p>
    <w:p w14:paraId="5F216ED4" w14:textId="77777777" w:rsidR="00BF2700" w:rsidRDefault="00BF2700" w:rsidP="00BF2700">
      <w:r>
        <w:t>FTDW configurations are positioned specifically for data warehousing scenarios. The data warehousing workload has the following core principles relating to SQL Server database operations; when applying FTDW principles or reference configurations, it is important to evaluate the affinity of the target workload to these high-level principles.</w:t>
      </w:r>
    </w:p>
    <w:p w14:paraId="20A59AC7" w14:textId="77777777" w:rsidR="00BF2700" w:rsidRDefault="00BF2700" w:rsidP="00BF2700">
      <w:r w:rsidRPr="00AC6596">
        <w:rPr>
          <w:b/>
        </w:rPr>
        <w:t>Scan</w:t>
      </w:r>
      <w:r>
        <w:rPr>
          <w:b/>
        </w:rPr>
        <w:t>-</w:t>
      </w:r>
      <w:r w:rsidRPr="00AC6596">
        <w:rPr>
          <w:b/>
        </w:rPr>
        <w:t>Intensive</w:t>
      </w:r>
    </w:p>
    <w:p w14:paraId="0C2F7D04" w14:textId="77777777" w:rsidR="00BF2700" w:rsidRDefault="00BF2700" w:rsidP="00BF2700">
      <w:r>
        <w:t>Queries in a data warehouse workload typically scan a large number of rows. For this reason, disk scan performance becomes an increasing priority in contrast to transactional workloads that stress disk seek time. The FTDW reference architecture optimizes hardware and database software components with disk scan performance as the key priority. This results in more efficient sequential disk reads and a correlated increase in disk I/O throughput per drive.</w:t>
      </w:r>
    </w:p>
    <w:p w14:paraId="14DBC930" w14:textId="77777777" w:rsidR="00BF2700" w:rsidRDefault="00BF2700" w:rsidP="00BF2700">
      <w:r w:rsidRPr="00AC6596">
        <w:rPr>
          <w:b/>
        </w:rPr>
        <w:t>Nonvolatile</w:t>
      </w:r>
    </w:p>
    <w:p w14:paraId="4EC1FBE5" w14:textId="77777777" w:rsidR="00BF2700" w:rsidRDefault="00BF2700" w:rsidP="00BF2700">
      <w:r>
        <w:t>After data is written, it is rarely changed. DML operations, such as SQL update, that move pages associated with the same database table out of contiguous alignment should be carefully managed. Workloads that commonly introduce such volatility may not be well aligned to FTDW. Where volatility does occur, periodic maintenance to minimize fragmentation is recommended.</w:t>
      </w:r>
    </w:p>
    <w:p w14:paraId="02E968A5" w14:textId="77777777" w:rsidR="00BF2700" w:rsidRDefault="00BF2700" w:rsidP="00BF2700">
      <w:r w:rsidRPr="00AC6596">
        <w:rPr>
          <w:b/>
        </w:rPr>
        <w:t>Index</w:t>
      </w:r>
      <w:r>
        <w:rPr>
          <w:b/>
        </w:rPr>
        <w:t>-L</w:t>
      </w:r>
      <w:r w:rsidRPr="00AC6596">
        <w:rPr>
          <w:b/>
        </w:rPr>
        <w:t>ight</w:t>
      </w:r>
    </w:p>
    <w:p w14:paraId="4F603D5C" w14:textId="77777777" w:rsidR="00BF2700" w:rsidRDefault="00BF2700" w:rsidP="00BF2700">
      <w:r>
        <w:t xml:space="preserve">Adding nonclustered indexes generally adds performance to discrete lookups of one or few records. However, if nonclustered indexes are applied to tables in which large numbers of rows are to be retrieved, additional fragmentation and increased random I/O disk scan patterns can degrade overall system performance. In addition, maintaining indexes introduces a significant data management overhead, which can generate challenges in meeting service-level agreements (SLAs) and load windows. </w:t>
      </w:r>
    </w:p>
    <w:p w14:paraId="3A1ECDD6" w14:textId="77777777" w:rsidR="00BF2700" w:rsidRDefault="00BF2700" w:rsidP="00BF2700">
      <w:r>
        <w:t xml:space="preserve">Sequential scan rates can be many factors higher (10 times or more) than random access rates. In addition, indexes deliver reduced value when large data scans represent the primary workload. For these reasons, the net performance benefit to an environment tuned for large analytical scan patterns can become negative. </w:t>
      </w:r>
    </w:p>
    <w:p w14:paraId="4ACB6C4C" w14:textId="77777777" w:rsidR="00BF2700" w:rsidRPr="00607195" w:rsidRDefault="00BF2700" w:rsidP="00BF2700">
      <w:r>
        <w:t>FTDW methodology prescribes database optimization techniques that align with the characteristics of the targeted workload. Clustered index and range partitioning are examples of data structures that support efficient scan based disk I/O.</w:t>
      </w:r>
    </w:p>
    <w:p w14:paraId="79068C7A" w14:textId="77777777" w:rsidR="00BF2700" w:rsidRDefault="00BF2700" w:rsidP="00BF2700">
      <w:r w:rsidRPr="00AC6596">
        <w:rPr>
          <w:b/>
        </w:rPr>
        <w:t>Partition</w:t>
      </w:r>
      <w:r>
        <w:rPr>
          <w:b/>
        </w:rPr>
        <w:t>-A</w:t>
      </w:r>
      <w:r w:rsidRPr="00AC6596">
        <w:rPr>
          <w:b/>
        </w:rPr>
        <w:t>ligned</w:t>
      </w:r>
    </w:p>
    <w:p w14:paraId="0B48219B" w14:textId="77777777" w:rsidR="00BF2700" w:rsidRDefault="00BF2700" w:rsidP="00BF2700">
      <w:r>
        <w:t xml:space="preserve">A common trait of Fast Track DW workloads is the ability to take advantage of SQL Server partitioning. Partitioning can simplify data lifecycle management and assist in minimizing </w:t>
      </w:r>
      <w:r>
        <w:lastRenderedPageBreak/>
        <w:t>fragmentation over time. In addition, query patterns for large scans can take advantage of range partition qualification and significantly reduce the size of table scans without sacrificing fragmentation or disk I/O throughput.</w:t>
      </w:r>
    </w:p>
    <w:p w14:paraId="693DDF65" w14:textId="77777777" w:rsidR="00BF2700" w:rsidRPr="009D358C" w:rsidRDefault="00BF2700" w:rsidP="00BF2700">
      <w:pPr>
        <w:rPr>
          <w:b/>
        </w:rPr>
      </w:pPr>
      <w:r>
        <w:rPr>
          <w:b/>
        </w:rPr>
        <w:t xml:space="preserve">Additional </w:t>
      </w:r>
      <w:r w:rsidRPr="009D358C">
        <w:rPr>
          <w:b/>
        </w:rPr>
        <w:t>Considerations</w:t>
      </w:r>
    </w:p>
    <w:p w14:paraId="05B0065A" w14:textId="77777777" w:rsidR="00BF2700" w:rsidRDefault="00BF2700" w:rsidP="00BF2700">
      <w:r>
        <w:t>The following additional considerations should be taken into account during the evaluation of a database workload:</w:t>
      </w:r>
    </w:p>
    <w:p w14:paraId="4CF06A4F" w14:textId="77777777" w:rsidR="00BF2700" w:rsidRDefault="00BF2700" w:rsidP="00BF2700">
      <w:pPr>
        <w:pStyle w:val="ListParagraph"/>
        <w:numPr>
          <w:ilvl w:val="0"/>
          <w:numId w:val="10"/>
        </w:numPr>
      </w:pPr>
      <w:r>
        <w:t>The implementation and management of an index-light database optimization strategy is a fundamental requirement for FTDW workloads.</w:t>
      </w:r>
    </w:p>
    <w:p w14:paraId="3E2B3AB5" w14:textId="77777777" w:rsidR="00BF2700" w:rsidRDefault="00BF2700" w:rsidP="00BF2700">
      <w:pPr>
        <w:pStyle w:val="ListParagraph"/>
        <w:numPr>
          <w:ilvl w:val="0"/>
          <w:numId w:val="10"/>
        </w:numPr>
      </w:pPr>
      <w:r>
        <w:t>It is assumed that minimal data fragmentation will be maintained within the data warehouse. This implies the following:</w:t>
      </w:r>
    </w:p>
    <w:p w14:paraId="1B77FBB6" w14:textId="77777777" w:rsidR="00BF2700" w:rsidRDefault="00BF2700" w:rsidP="00BF2700">
      <w:pPr>
        <w:pStyle w:val="ListParagraph"/>
        <w:numPr>
          <w:ilvl w:val="1"/>
          <w:numId w:val="10"/>
        </w:numPr>
      </w:pPr>
      <w:r>
        <w:t>Expanding the server by adding storage requires that all performance-sensitive tables be repopulated in a manner consistent with guidelines provided in this document.</w:t>
      </w:r>
    </w:p>
    <w:p w14:paraId="6500334E" w14:textId="77777777" w:rsidR="00BF2700" w:rsidRDefault="00BF2700" w:rsidP="00BF2700">
      <w:pPr>
        <w:pStyle w:val="ListParagraph"/>
        <w:numPr>
          <w:ilvl w:val="1"/>
          <w:numId w:val="10"/>
        </w:numPr>
      </w:pPr>
      <w:r>
        <w:t>Implementing highly volatile data structures, such as tables with regular row-level update activity, may also require frequent maintenance (such as defragmentation or index rebuilds) to reduce fragmentation.</w:t>
      </w:r>
    </w:p>
    <w:p w14:paraId="53BD2E65" w14:textId="77777777" w:rsidR="00BF2700" w:rsidRDefault="00BF2700" w:rsidP="00BF2700">
      <w:pPr>
        <w:pStyle w:val="ListParagraph"/>
        <w:numPr>
          <w:ilvl w:val="1"/>
          <w:numId w:val="10"/>
        </w:numPr>
      </w:pPr>
      <w:r>
        <w:t>Loading of cluster index tables with batches of cluster key IDs that overlap existing ranges is a frequent source of fragmentation. This should be carefully monitored and managed in accordance with best practices provided in this reference guide.</w:t>
      </w:r>
    </w:p>
    <w:p w14:paraId="1BA9CA96" w14:textId="77777777" w:rsidR="00BF2700" w:rsidRDefault="00BF2700" w:rsidP="00BF2700">
      <w:pPr>
        <w:pStyle w:val="ListParagraph"/>
        <w:numPr>
          <w:ilvl w:val="0"/>
          <w:numId w:val="10"/>
        </w:numPr>
      </w:pPr>
      <w:r>
        <w:t xml:space="preserve"> Data warehousing can mean many things to different audiences. Care should be taken to evaluate customer requirements against FTDW workload attributes.</w:t>
      </w:r>
    </w:p>
    <w:p w14:paraId="5BCD9390" w14:textId="77777777" w:rsidR="00BF2700" w:rsidRDefault="00BF2700" w:rsidP="00BF2700">
      <w:pPr>
        <w:pStyle w:val="Heading3"/>
      </w:pPr>
      <w:r>
        <w:t>Qualitative Data Warehouse Workload Attributes</w:t>
      </w:r>
    </w:p>
    <w:p w14:paraId="78A2E88E" w14:textId="77777777" w:rsidR="00BF2700" w:rsidRDefault="00BF2700" w:rsidP="00BF2700">
      <w:r>
        <w:t>The FTDW workload can be defined through the properties of the following subject areas related to database operations:</w:t>
      </w:r>
    </w:p>
    <w:p w14:paraId="1CC08959" w14:textId="77777777" w:rsidR="00BF2700" w:rsidRDefault="00BF2700" w:rsidP="00BF2700">
      <w:pPr>
        <w:pStyle w:val="ListParagraph"/>
        <w:numPr>
          <w:ilvl w:val="0"/>
          <w:numId w:val="7"/>
        </w:numPr>
      </w:pPr>
      <w:r>
        <w:t>User requirements and access pattern</w:t>
      </w:r>
    </w:p>
    <w:p w14:paraId="2161D541" w14:textId="77777777" w:rsidR="00BF2700" w:rsidRDefault="00BF2700" w:rsidP="00BF2700">
      <w:pPr>
        <w:pStyle w:val="ListParagraph"/>
        <w:numPr>
          <w:ilvl w:val="0"/>
          <w:numId w:val="7"/>
        </w:numPr>
      </w:pPr>
      <w:r>
        <w:t>Data model</w:t>
      </w:r>
    </w:p>
    <w:p w14:paraId="413EE1C0" w14:textId="77777777" w:rsidR="00BF2700" w:rsidRDefault="00BF2700" w:rsidP="00BF2700">
      <w:pPr>
        <w:pStyle w:val="ListParagraph"/>
        <w:numPr>
          <w:ilvl w:val="0"/>
          <w:numId w:val="7"/>
        </w:numPr>
      </w:pPr>
      <w:r>
        <w:t>Data architecture</w:t>
      </w:r>
    </w:p>
    <w:p w14:paraId="24675300" w14:textId="77777777" w:rsidR="00BF2700" w:rsidRDefault="00BF2700" w:rsidP="00BF2700">
      <w:pPr>
        <w:pStyle w:val="ListParagraph"/>
        <w:numPr>
          <w:ilvl w:val="0"/>
          <w:numId w:val="7"/>
        </w:numPr>
      </w:pPr>
      <w:r>
        <w:t>Database optimization</w:t>
      </w:r>
    </w:p>
    <w:p w14:paraId="2AE7EF15" w14:textId="77777777" w:rsidR="00BF2700" w:rsidRDefault="00BF2700" w:rsidP="00BF2700">
      <w:r>
        <w:t>The following table summarizes data warehouse workload attributes; contrast is provided through comparison to an OLTP or operational data store</w:t>
      </w:r>
      <w:r w:rsidRPr="00817A97">
        <w:t xml:space="preserve"> </w:t>
      </w:r>
      <w:r>
        <w:t>(ODS) workload.</w:t>
      </w:r>
    </w:p>
    <w:p w14:paraId="1ECBC86E" w14:textId="77777777" w:rsidR="00BF2700" w:rsidRDefault="00BF2700" w:rsidP="00BF270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828"/>
        <w:gridCol w:w="403"/>
        <w:gridCol w:w="3536"/>
      </w:tblGrid>
      <w:tr w:rsidR="00BF2700" w:rsidRPr="00D93716" w14:paraId="0B8C1CC7" w14:textId="77777777" w:rsidTr="002927C9">
        <w:trPr>
          <w:cantSplit/>
        </w:trPr>
        <w:tc>
          <w:tcPr>
            <w:tcW w:w="1809" w:type="dxa"/>
          </w:tcPr>
          <w:p w14:paraId="0AD4E899" w14:textId="77777777" w:rsidR="00BF2700" w:rsidRPr="00D93716" w:rsidRDefault="00BF2700" w:rsidP="002927C9">
            <w:pPr>
              <w:rPr>
                <w:rStyle w:val="IntenseEmphasis"/>
                <w:sz w:val="18"/>
                <w:szCs w:val="18"/>
              </w:rPr>
            </w:pPr>
            <w:r>
              <w:rPr>
                <w:rStyle w:val="IntenseEmphasis"/>
                <w:sz w:val="18"/>
                <w:szCs w:val="18"/>
              </w:rPr>
              <w:t>Attribute</w:t>
            </w:r>
          </w:p>
        </w:tc>
        <w:tc>
          <w:tcPr>
            <w:tcW w:w="7767" w:type="dxa"/>
            <w:gridSpan w:val="3"/>
          </w:tcPr>
          <w:p w14:paraId="24EBF7BF" w14:textId="77777777" w:rsidR="00BF2700" w:rsidRPr="00D93716" w:rsidRDefault="00BF2700" w:rsidP="002927C9">
            <w:pPr>
              <w:jc w:val="center"/>
              <w:rPr>
                <w:rStyle w:val="IntenseEmphasis"/>
                <w:sz w:val="18"/>
                <w:szCs w:val="18"/>
              </w:rPr>
            </w:pPr>
            <w:r w:rsidRPr="00D93716">
              <w:rPr>
                <w:rStyle w:val="IntenseEmphasis"/>
                <w:sz w:val="18"/>
                <w:szCs w:val="18"/>
              </w:rPr>
              <w:t>Workload Affinity</w:t>
            </w:r>
          </w:p>
        </w:tc>
      </w:tr>
      <w:tr w:rsidR="00BF2700" w:rsidRPr="00D93716" w14:paraId="7066F58D" w14:textId="77777777" w:rsidTr="002927C9">
        <w:trPr>
          <w:cantSplit/>
        </w:trPr>
        <w:tc>
          <w:tcPr>
            <w:tcW w:w="1809" w:type="dxa"/>
            <w:tcBorders>
              <w:bottom w:val="single" w:sz="4" w:space="0" w:color="auto"/>
            </w:tcBorders>
          </w:tcPr>
          <w:p w14:paraId="1938AF39" w14:textId="77777777" w:rsidR="00BF2700" w:rsidRPr="00D93716" w:rsidRDefault="00BF2700" w:rsidP="002927C9">
            <w:pPr>
              <w:rPr>
                <w:rStyle w:val="IntenseEmphasis"/>
                <w:sz w:val="18"/>
                <w:szCs w:val="18"/>
              </w:rPr>
            </w:pPr>
          </w:p>
        </w:tc>
        <w:tc>
          <w:tcPr>
            <w:tcW w:w="4231" w:type="dxa"/>
            <w:gridSpan w:val="2"/>
            <w:tcBorders>
              <w:bottom w:val="single" w:sz="4" w:space="0" w:color="auto"/>
            </w:tcBorders>
          </w:tcPr>
          <w:p w14:paraId="2EA6E8A3" w14:textId="77777777" w:rsidR="00BF2700" w:rsidRPr="00D93716" w:rsidRDefault="00BF2700" w:rsidP="002927C9">
            <w:pPr>
              <w:jc w:val="center"/>
              <w:rPr>
                <w:rStyle w:val="IntenseEmphasis"/>
                <w:sz w:val="18"/>
                <w:szCs w:val="18"/>
              </w:rPr>
            </w:pPr>
            <w:r>
              <w:rPr>
                <w:rStyle w:val="IntenseEmphasis"/>
                <w:sz w:val="18"/>
                <w:szCs w:val="18"/>
              </w:rPr>
              <w:t>Data Warehouse</w:t>
            </w:r>
          </w:p>
        </w:tc>
        <w:tc>
          <w:tcPr>
            <w:tcW w:w="3536" w:type="dxa"/>
            <w:tcBorders>
              <w:bottom w:val="single" w:sz="4" w:space="0" w:color="auto"/>
            </w:tcBorders>
          </w:tcPr>
          <w:p w14:paraId="54378144" w14:textId="77777777" w:rsidR="00BF2700" w:rsidRPr="00D93716" w:rsidRDefault="00BF2700" w:rsidP="002927C9">
            <w:pPr>
              <w:jc w:val="center"/>
              <w:rPr>
                <w:rStyle w:val="IntenseEmphasis"/>
                <w:sz w:val="18"/>
                <w:szCs w:val="18"/>
              </w:rPr>
            </w:pPr>
            <w:r w:rsidRPr="00D93716">
              <w:rPr>
                <w:rStyle w:val="IntenseEmphasis"/>
                <w:sz w:val="18"/>
                <w:szCs w:val="18"/>
              </w:rPr>
              <w:t>OLTP</w:t>
            </w:r>
            <w:r>
              <w:rPr>
                <w:rStyle w:val="IntenseEmphasis"/>
                <w:sz w:val="18"/>
                <w:szCs w:val="18"/>
              </w:rPr>
              <w:t>/ODS</w:t>
            </w:r>
          </w:p>
        </w:tc>
      </w:tr>
      <w:tr w:rsidR="00BF2700" w:rsidRPr="00D93716" w14:paraId="1C573584" w14:textId="77777777" w:rsidTr="002927C9">
        <w:trPr>
          <w:cantSplit/>
        </w:trPr>
        <w:tc>
          <w:tcPr>
            <w:tcW w:w="1809" w:type="dxa"/>
            <w:tcBorders>
              <w:top w:val="single" w:sz="4" w:space="0" w:color="auto"/>
              <w:bottom w:val="single" w:sz="4" w:space="0" w:color="auto"/>
            </w:tcBorders>
          </w:tcPr>
          <w:p w14:paraId="38E718FC" w14:textId="77777777" w:rsidR="00BF2700" w:rsidRDefault="00BF2700" w:rsidP="002927C9">
            <w:pPr>
              <w:rPr>
                <w:b/>
                <w:sz w:val="18"/>
                <w:szCs w:val="18"/>
              </w:rPr>
            </w:pPr>
          </w:p>
          <w:p w14:paraId="14B651A4" w14:textId="77777777" w:rsidR="00BF2700" w:rsidRPr="00D93716" w:rsidRDefault="00BF2700" w:rsidP="002927C9">
            <w:pPr>
              <w:rPr>
                <w:b/>
                <w:sz w:val="18"/>
                <w:szCs w:val="18"/>
              </w:rPr>
            </w:pPr>
            <w:r w:rsidRPr="00D93716">
              <w:rPr>
                <w:b/>
                <w:sz w:val="18"/>
                <w:szCs w:val="18"/>
              </w:rPr>
              <w:t>Use Case Description</w:t>
            </w:r>
          </w:p>
          <w:p w14:paraId="3166CF1B" w14:textId="77777777" w:rsidR="00BF2700" w:rsidRPr="00D93716" w:rsidRDefault="00BF2700" w:rsidP="002927C9">
            <w:pPr>
              <w:rPr>
                <w:b/>
                <w:sz w:val="18"/>
                <w:szCs w:val="18"/>
              </w:rPr>
            </w:pPr>
          </w:p>
        </w:tc>
        <w:tc>
          <w:tcPr>
            <w:tcW w:w="3828" w:type="dxa"/>
            <w:tcBorders>
              <w:top w:val="single" w:sz="4" w:space="0" w:color="auto"/>
              <w:bottom w:val="single" w:sz="4" w:space="0" w:color="auto"/>
            </w:tcBorders>
          </w:tcPr>
          <w:p w14:paraId="50240012" w14:textId="77777777" w:rsidR="00BF2700" w:rsidRDefault="00BF2700" w:rsidP="002927C9">
            <w:pPr>
              <w:pStyle w:val="ListParagraph"/>
              <w:ind w:left="360"/>
              <w:rPr>
                <w:sz w:val="18"/>
                <w:szCs w:val="18"/>
              </w:rPr>
            </w:pPr>
          </w:p>
          <w:p w14:paraId="10239466" w14:textId="77777777" w:rsidR="00BF2700" w:rsidRDefault="00BF2700" w:rsidP="002927C9">
            <w:pPr>
              <w:pStyle w:val="ListParagraph"/>
              <w:numPr>
                <w:ilvl w:val="0"/>
                <w:numId w:val="6"/>
              </w:numPr>
              <w:rPr>
                <w:sz w:val="18"/>
                <w:szCs w:val="18"/>
              </w:rPr>
            </w:pPr>
            <w:r w:rsidRPr="00D93716">
              <w:rPr>
                <w:sz w:val="18"/>
                <w:szCs w:val="18"/>
              </w:rPr>
              <w:t>Read-mostly (90%-10%)</w:t>
            </w:r>
          </w:p>
          <w:p w14:paraId="4000C913" w14:textId="77777777" w:rsidR="00BF2700" w:rsidRDefault="00BF2700" w:rsidP="002927C9">
            <w:pPr>
              <w:pStyle w:val="ListParagraph"/>
              <w:numPr>
                <w:ilvl w:val="0"/>
                <w:numId w:val="6"/>
              </w:numPr>
              <w:rPr>
                <w:sz w:val="18"/>
                <w:szCs w:val="18"/>
              </w:rPr>
            </w:pPr>
            <w:r w:rsidRPr="00D93716">
              <w:rPr>
                <w:sz w:val="18"/>
                <w:szCs w:val="18"/>
              </w:rPr>
              <w:t>Updates generally limit</w:t>
            </w:r>
            <w:r>
              <w:rPr>
                <w:sz w:val="18"/>
                <w:szCs w:val="18"/>
              </w:rPr>
              <w:t>ed to data quality requirements</w:t>
            </w:r>
          </w:p>
          <w:p w14:paraId="792EA455" w14:textId="77777777" w:rsidR="00BF2700" w:rsidRDefault="00BF2700" w:rsidP="002927C9">
            <w:pPr>
              <w:pStyle w:val="ListParagraph"/>
              <w:numPr>
                <w:ilvl w:val="0"/>
                <w:numId w:val="6"/>
              </w:numPr>
              <w:rPr>
                <w:sz w:val="18"/>
                <w:szCs w:val="18"/>
              </w:rPr>
            </w:pPr>
            <w:r w:rsidRPr="00D93716">
              <w:rPr>
                <w:sz w:val="18"/>
                <w:szCs w:val="18"/>
              </w:rPr>
              <w:t>High-volume bulk inserts</w:t>
            </w:r>
          </w:p>
          <w:p w14:paraId="0D634732" w14:textId="77777777" w:rsidR="00BF2700" w:rsidRDefault="00BF2700" w:rsidP="002927C9">
            <w:pPr>
              <w:pStyle w:val="ListParagraph"/>
              <w:numPr>
                <w:ilvl w:val="0"/>
                <w:numId w:val="6"/>
              </w:numPr>
              <w:rPr>
                <w:sz w:val="18"/>
                <w:szCs w:val="18"/>
              </w:rPr>
            </w:pPr>
            <w:r>
              <w:rPr>
                <w:sz w:val="18"/>
                <w:szCs w:val="18"/>
              </w:rPr>
              <w:t>Medium to low overall query concurrency; peak concurrent query request ranging from 10-30</w:t>
            </w:r>
          </w:p>
          <w:p w14:paraId="34AEF573" w14:textId="77777777" w:rsidR="00BF2700" w:rsidRDefault="00BF2700" w:rsidP="002927C9">
            <w:pPr>
              <w:pStyle w:val="ListParagraph"/>
              <w:numPr>
                <w:ilvl w:val="0"/>
                <w:numId w:val="6"/>
              </w:numPr>
              <w:rPr>
                <w:sz w:val="18"/>
                <w:szCs w:val="18"/>
              </w:rPr>
            </w:pPr>
            <w:r w:rsidRPr="00D93716">
              <w:rPr>
                <w:sz w:val="18"/>
                <w:szCs w:val="18"/>
              </w:rPr>
              <w:t xml:space="preserve">Concurrent query throughput characterized by </w:t>
            </w:r>
            <w:r>
              <w:rPr>
                <w:sz w:val="18"/>
                <w:szCs w:val="18"/>
              </w:rPr>
              <w:t>analysis and reporting needs</w:t>
            </w:r>
          </w:p>
          <w:p w14:paraId="370AFDAB" w14:textId="77777777" w:rsidR="00BF2700" w:rsidRDefault="00BF2700" w:rsidP="002927C9">
            <w:pPr>
              <w:pStyle w:val="ListParagraph"/>
              <w:numPr>
                <w:ilvl w:val="0"/>
                <w:numId w:val="6"/>
              </w:numPr>
              <w:rPr>
                <w:sz w:val="18"/>
                <w:szCs w:val="18"/>
              </w:rPr>
            </w:pPr>
            <w:r w:rsidRPr="00D93716">
              <w:rPr>
                <w:sz w:val="18"/>
                <w:szCs w:val="18"/>
              </w:rPr>
              <w:t xml:space="preserve">Large </w:t>
            </w:r>
            <w:r>
              <w:rPr>
                <w:sz w:val="18"/>
                <w:szCs w:val="18"/>
              </w:rPr>
              <w:t>range scans and/or aggregations</w:t>
            </w:r>
          </w:p>
          <w:p w14:paraId="3BB24823" w14:textId="77777777" w:rsidR="00BF2700" w:rsidRDefault="00BF2700" w:rsidP="002927C9">
            <w:pPr>
              <w:pStyle w:val="ListParagraph"/>
              <w:numPr>
                <w:ilvl w:val="0"/>
                <w:numId w:val="6"/>
              </w:numPr>
              <w:rPr>
                <w:sz w:val="18"/>
                <w:szCs w:val="18"/>
              </w:rPr>
            </w:pPr>
            <w:r w:rsidRPr="00D93716">
              <w:rPr>
                <w:sz w:val="18"/>
                <w:szCs w:val="18"/>
              </w:rPr>
              <w:t>Complex queries (filter, join, group-by, aggregation)</w:t>
            </w:r>
          </w:p>
        </w:tc>
        <w:tc>
          <w:tcPr>
            <w:tcW w:w="3939" w:type="dxa"/>
            <w:gridSpan w:val="2"/>
            <w:tcBorders>
              <w:top w:val="single" w:sz="4" w:space="0" w:color="auto"/>
              <w:bottom w:val="single" w:sz="4" w:space="0" w:color="auto"/>
            </w:tcBorders>
          </w:tcPr>
          <w:p w14:paraId="41863757" w14:textId="77777777" w:rsidR="00BF2700" w:rsidRDefault="00BF2700" w:rsidP="002927C9">
            <w:pPr>
              <w:pStyle w:val="ListParagraph"/>
              <w:ind w:left="360"/>
              <w:rPr>
                <w:sz w:val="18"/>
                <w:szCs w:val="18"/>
              </w:rPr>
            </w:pPr>
          </w:p>
          <w:p w14:paraId="5505C92A" w14:textId="77777777" w:rsidR="00BF2700" w:rsidRDefault="00BF2700" w:rsidP="002927C9">
            <w:pPr>
              <w:pStyle w:val="ListParagraph"/>
              <w:numPr>
                <w:ilvl w:val="0"/>
                <w:numId w:val="6"/>
              </w:numPr>
              <w:rPr>
                <w:sz w:val="18"/>
                <w:szCs w:val="18"/>
              </w:rPr>
            </w:pPr>
            <w:r w:rsidRPr="00D93716">
              <w:rPr>
                <w:sz w:val="18"/>
                <w:szCs w:val="18"/>
              </w:rPr>
              <w:t>Balanced read-update ratio (60%-40%)</w:t>
            </w:r>
          </w:p>
          <w:p w14:paraId="5A0331D0" w14:textId="77777777" w:rsidR="00BF2700" w:rsidRDefault="00BF2700" w:rsidP="002927C9">
            <w:pPr>
              <w:pStyle w:val="ListParagraph"/>
              <w:numPr>
                <w:ilvl w:val="0"/>
                <w:numId w:val="6"/>
              </w:numPr>
              <w:rPr>
                <w:sz w:val="18"/>
                <w:szCs w:val="18"/>
              </w:rPr>
            </w:pPr>
            <w:r w:rsidRPr="00D93716">
              <w:rPr>
                <w:sz w:val="18"/>
                <w:szCs w:val="18"/>
              </w:rPr>
              <w:t>Concurrent query throughput cha</w:t>
            </w:r>
            <w:r>
              <w:rPr>
                <w:sz w:val="18"/>
                <w:szCs w:val="18"/>
              </w:rPr>
              <w:t>racterized by operational needs</w:t>
            </w:r>
          </w:p>
          <w:p w14:paraId="479AE56F" w14:textId="77777777" w:rsidR="00BF2700" w:rsidRDefault="00BF2700" w:rsidP="002927C9">
            <w:pPr>
              <w:pStyle w:val="ListParagraph"/>
              <w:numPr>
                <w:ilvl w:val="0"/>
                <w:numId w:val="6"/>
              </w:numPr>
              <w:rPr>
                <w:sz w:val="18"/>
                <w:szCs w:val="18"/>
              </w:rPr>
            </w:pPr>
            <w:r w:rsidRPr="00D93716">
              <w:rPr>
                <w:sz w:val="18"/>
                <w:szCs w:val="18"/>
              </w:rPr>
              <w:t xml:space="preserve">Fine-grained inserts and updates </w:t>
            </w:r>
          </w:p>
          <w:p w14:paraId="1C60AA3E" w14:textId="77777777" w:rsidR="00BF2700" w:rsidRDefault="00BF2700" w:rsidP="002927C9">
            <w:pPr>
              <w:pStyle w:val="ListParagraph"/>
              <w:numPr>
                <w:ilvl w:val="0"/>
                <w:numId w:val="6"/>
              </w:numPr>
              <w:rPr>
                <w:sz w:val="18"/>
                <w:szCs w:val="18"/>
              </w:rPr>
            </w:pPr>
            <w:r>
              <w:rPr>
                <w:sz w:val="18"/>
                <w:szCs w:val="18"/>
              </w:rPr>
              <w:t>High transaction throughput (for example,</w:t>
            </w:r>
            <w:r w:rsidRPr="00D93716">
              <w:rPr>
                <w:sz w:val="18"/>
                <w:szCs w:val="18"/>
              </w:rPr>
              <w:t xml:space="preserve"> 10s K/sec</w:t>
            </w:r>
            <w:r>
              <w:rPr>
                <w:sz w:val="18"/>
                <w:szCs w:val="18"/>
              </w:rPr>
              <w:t>)</w:t>
            </w:r>
          </w:p>
          <w:p w14:paraId="436FDAF9" w14:textId="77777777" w:rsidR="00BF2700" w:rsidRDefault="00BF2700" w:rsidP="002927C9">
            <w:pPr>
              <w:pStyle w:val="ListParagraph"/>
              <w:numPr>
                <w:ilvl w:val="0"/>
                <w:numId w:val="6"/>
              </w:numPr>
              <w:rPr>
                <w:sz w:val="18"/>
                <w:szCs w:val="18"/>
              </w:rPr>
            </w:pPr>
            <w:r>
              <w:rPr>
                <w:sz w:val="18"/>
                <w:szCs w:val="18"/>
              </w:rPr>
              <w:t>Medium-to-high overall user concurrency. Peak concurrent query request ranging from 50-100 or more</w:t>
            </w:r>
          </w:p>
          <w:p w14:paraId="3530631E" w14:textId="77777777" w:rsidR="00BF2700" w:rsidRDefault="00BF2700" w:rsidP="002927C9">
            <w:pPr>
              <w:pStyle w:val="ListParagraph"/>
              <w:numPr>
                <w:ilvl w:val="0"/>
                <w:numId w:val="6"/>
              </w:numPr>
              <w:rPr>
                <w:sz w:val="18"/>
                <w:szCs w:val="18"/>
              </w:rPr>
            </w:pPr>
            <w:r w:rsidRPr="00D93716">
              <w:rPr>
                <w:sz w:val="18"/>
                <w:szCs w:val="18"/>
              </w:rPr>
              <w:t>Usually very sho</w:t>
            </w:r>
            <w:r>
              <w:rPr>
                <w:sz w:val="18"/>
                <w:szCs w:val="18"/>
              </w:rPr>
              <w:t>rt transactions (for example, discrete minimal row lookups)</w:t>
            </w:r>
          </w:p>
        </w:tc>
      </w:tr>
      <w:tr w:rsidR="00BF2700" w:rsidRPr="00D93716" w14:paraId="02CF3AF4" w14:textId="77777777" w:rsidTr="002927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1809" w:type="dxa"/>
            <w:tcBorders>
              <w:top w:val="single" w:sz="4" w:space="0" w:color="auto"/>
              <w:left w:val="nil"/>
              <w:bottom w:val="single" w:sz="4" w:space="0" w:color="auto"/>
              <w:right w:val="nil"/>
            </w:tcBorders>
          </w:tcPr>
          <w:p w14:paraId="58ACC498" w14:textId="77777777" w:rsidR="00BF2700" w:rsidRDefault="00BF2700" w:rsidP="002927C9">
            <w:pPr>
              <w:rPr>
                <w:b/>
                <w:sz w:val="18"/>
                <w:szCs w:val="18"/>
              </w:rPr>
            </w:pPr>
          </w:p>
          <w:p w14:paraId="76FEEB89" w14:textId="77777777" w:rsidR="00BF2700" w:rsidRPr="00D93716" w:rsidRDefault="00BF2700" w:rsidP="002927C9">
            <w:pPr>
              <w:rPr>
                <w:b/>
                <w:sz w:val="18"/>
                <w:szCs w:val="18"/>
              </w:rPr>
            </w:pPr>
            <w:r w:rsidRPr="00D93716">
              <w:rPr>
                <w:b/>
                <w:sz w:val="18"/>
                <w:szCs w:val="18"/>
              </w:rPr>
              <w:t>Data Model</w:t>
            </w:r>
          </w:p>
          <w:p w14:paraId="2C9ECB53" w14:textId="77777777" w:rsidR="00BF2700" w:rsidRPr="00D93716" w:rsidRDefault="00BF2700" w:rsidP="002927C9">
            <w:pPr>
              <w:rPr>
                <w:b/>
                <w:sz w:val="18"/>
                <w:szCs w:val="18"/>
              </w:rPr>
            </w:pPr>
          </w:p>
        </w:tc>
        <w:tc>
          <w:tcPr>
            <w:tcW w:w="3828" w:type="dxa"/>
            <w:tcBorders>
              <w:top w:val="single" w:sz="4" w:space="0" w:color="auto"/>
              <w:left w:val="nil"/>
              <w:bottom w:val="single" w:sz="4" w:space="0" w:color="auto"/>
              <w:right w:val="nil"/>
            </w:tcBorders>
          </w:tcPr>
          <w:p w14:paraId="62EB0000" w14:textId="77777777" w:rsidR="00BF2700" w:rsidRDefault="00BF2700" w:rsidP="002927C9">
            <w:pPr>
              <w:pStyle w:val="ListParagraph"/>
              <w:ind w:left="360"/>
              <w:rPr>
                <w:sz w:val="18"/>
                <w:szCs w:val="18"/>
              </w:rPr>
            </w:pPr>
          </w:p>
          <w:p w14:paraId="6C6BD976" w14:textId="77777777" w:rsidR="00BF2700" w:rsidRDefault="00BF2700" w:rsidP="002927C9">
            <w:pPr>
              <w:pStyle w:val="ListParagraph"/>
              <w:numPr>
                <w:ilvl w:val="0"/>
                <w:numId w:val="6"/>
              </w:numPr>
              <w:rPr>
                <w:sz w:val="18"/>
                <w:szCs w:val="18"/>
              </w:rPr>
            </w:pPr>
            <w:r w:rsidRPr="00D93716">
              <w:rPr>
                <w:sz w:val="18"/>
                <w:szCs w:val="18"/>
              </w:rPr>
              <w:t>Highly normalized central</w:t>
            </w:r>
            <w:r>
              <w:rPr>
                <w:sz w:val="18"/>
                <w:szCs w:val="18"/>
              </w:rPr>
              <w:t>ized data warehouse model</w:t>
            </w:r>
          </w:p>
          <w:p w14:paraId="00827F6E" w14:textId="77777777" w:rsidR="00BF2700" w:rsidRDefault="00BF2700" w:rsidP="002927C9">
            <w:pPr>
              <w:pStyle w:val="ListParagraph"/>
              <w:numPr>
                <w:ilvl w:val="0"/>
                <w:numId w:val="6"/>
              </w:numPr>
              <w:rPr>
                <w:sz w:val="18"/>
                <w:szCs w:val="18"/>
              </w:rPr>
            </w:pPr>
            <w:r w:rsidRPr="00D93716">
              <w:rPr>
                <w:sz w:val="18"/>
                <w:szCs w:val="18"/>
              </w:rPr>
              <w:t>Denormalization in su</w:t>
            </w:r>
            <w:r>
              <w:rPr>
                <w:sz w:val="18"/>
                <w:szCs w:val="18"/>
              </w:rPr>
              <w:t>pport of reporting requirements often serviced from BI applications such as SQL Server Analysis Services</w:t>
            </w:r>
          </w:p>
          <w:p w14:paraId="295F404E" w14:textId="77777777" w:rsidR="00BF2700" w:rsidRDefault="00BF2700" w:rsidP="002927C9">
            <w:pPr>
              <w:pStyle w:val="ListParagraph"/>
              <w:numPr>
                <w:ilvl w:val="0"/>
                <w:numId w:val="6"/>
              </w:numPr>
              <w:rPr>
                <w:sz w:val="18"/>
                <w:szCs w:val="18"/>
              </w:rPr>
            </w:pPr>
            <w:r>
              <w:rPr>
                <w:sz w:val="18"/>
                <w:szCs w:val="18"/>
              </w:rPr>
              <w:t>Dimensional data structures hosted on the database with relatively low concurrency, high volume analytical requests</w:t>
            </w:r>
          </w:p>
          <w:p w14:paraId="4632C3A8" w14:textId="77777777" w:rsidR="00BF2700" w:rsidRDefault="00BF2700" w:rsidP="002927C9">
            <w:pPr>
              <w:pStyle w:val="ListParagraph"/>
              <w:numPr>
                <w:ilvl w:val="0"/>
                <w:numId w:val="6"/>
              </w:numPr>
              <w:rPr>
                <w:sz w:val="18"/>
                <w:szCs w:val="18"/>
              </w:rPr>
            </w:pPr>
            <w:r w:rsidRPr="00D93716">
              <w:rPr>
                <w:sz w:val="18"/>
                <w:szCs w:val="18"/>
              </w:rPr>
              <w:t xml:space="preserve">Large range scans </w:t>
            </w:r>
            <w:r>
              <w:rPr>
                <w:sz w:val="18"/>
                <w:szCs w:val="18"/>
              </w:rPr>
              <w:t>are</w:t>
            </w:r>
            <w:r w:rsidRPr="00D93716">
              <w:rPr>
                <w:sz w:val="18"/>
                <w:szCs w:val="18"/>
              </w:rPr>
              <w:t xml:space="preserve"> common</w:t>
            </w:r>
          </w:p>
          <w:p w14:paraId="2488E8C6" w14:textId="77777777" w:rsidR="00BF2700" w:rsidRDefault="00BF2700" w:rsidP="002927C9">
            <w:pPr>
              <w:pStyle w:val="ListParagraph"/>
              <w:numPr>
                <w:ilvl w:val="0"/>
                <w:numId w:val="6"/>
              </w:numPr>
              <w:rPr>
                <w:sz w:val="18"/>
                <w:szCs w:val="18"/>
              </w:rPr>
            </w:pPr>
            <w:r w:rsidRPr="00D93716">
              <w:rPr>
                <w:sz w:val="18"/>
                <w:szCs w:val="18"/>
              </w:rPr>
              <w:t>Ad</w:t>
            </w:r>
            <w:r>
              <w:rPr>
                <w:sz w:val="18"/>
                <w:szCs w:val="18"/>
              </w:rPr>
              <w:t>-</w:t>
            </w:r>
            <w:r w:rsidRPr="00D93716">
              <w:rPr>
                <w:sz w:val="18"/>
                <w:szCs w:val="18"/>
              </w:rPr>
              <w:t>hoc analytical use cases</w:t>
            </w:r>
          </w:p>
        </w:tc>
        <w:tc>
          <w:tcPr>
            <w:tcW w:w="3939" w:type="dxa"/>
            <w:gridSpan w:val="2"/>
            <w:tcBorders>
              <w:top w:val="single" w:sz="4" w:space="0" w:color="auto"/>
              <w:left w:val="nil"/>
              <w:bottom w:val="single" w:sz="4" w:space="0" w:color="auto"/>
              <w:right w:val="nil"/>
            </w:tcBorders>
          </w:tcPr>
          <w:p w14:paraId="3356C2E8" w14:textId="77777777" w:rsidR="00BF2700" w:rsidRDefault="00BF2700" w:rsidP="002927C9">
            <w:pPr>
              <w:pStyle w:val="ListParagraph"/>
              <w:ind w:left="360"/>
              <w:rPr>
                <w:sz w:val="18"/>
                <w:szCs w:val="18"/>
              </w:rPr>
            </w:pPr>
          </w:p>
          <w:p w14:paraId="228002FE" w14:textId="77777777" w:rsidR="00BF2700" w:rsidRDefault="00BF2700" w:rsidP="002927C9">
            <w:pPr>
              <w:pStyle w:val="ListParagraph"/>
              <w:numPr>
                <w:ilvl w:val="0"/>
                <w:numId w:val="6"/>
              </w:numPr>
              <w:rPr>
                <w:sz w:val="18"/>
                <w:szCs w:val="18"/>
              </w:rPr>
            </w:pPr>
            <w:r w:rsidRPr="00D93716">
              <w:rPr>
                <w:sz w:val="18"/>
                <w:szCs w:val="18"/>
              </w:rPr>
              <w:t>Highly normalized operational data model</w:t>
            </w:r>
          </w:p>
          <w:p w14:paraId="23FF9368" w14:textId="77777777" w:rsidR="00BF2700" w:rsidRDefault="00BF2700" w:rsidP="002927C9">
            <w:pPr>
              <w:pStyle w:val="ListParagraph"/>
              <w:numPr>
                <w:ilvl w:val="0"/>
                <w:numId w:val="6"/>
              </w:numPr>
              <w:rPr>
                <w:sz w:val="18"/>
                <w:szCs w:val="18"/>
              </w:rPr>
            </w:pPr>
            <w:r w:rsidRPr="00D93716">
              <w:rPr>
                <w:sz w:val="18"/>
                <w:szCs w:val="18"/>
              </w:rPr>
              <w:t>Frequent denormalization for decision support</w:t>
            </w:r>
            <w:r>
              <w:rPr>
                <w:sz w:val="18"/>
                <w:szCs w:val="18"/>
              </w:rPr>
              <w:t>; high concurrency, low latency discrete lookups</w:t>
            </w:r>
          </w:p>
          <w:p w14:paraId="1EC6BB0D" w14:textId="77777777" w:rsidR="00BF2700" w:rsidRDefault="00BF2700" w:rsidP="002927C9">
            <w:pPr>
              <w:pStyle w:val="ListParagraph"/>
              <w:numPr>
                <w:ilvl w:val="0"/>
                <w:numId w:val="6"/>
              </w:numPr>
              <w:rPr>
                <w:sz w:val="18"/>
                <w:szCs w:val="18"/>
              </w:rPr>
            </w:pPr>
            <w:r>
              <w:rPr>
                <w:sz w:val="18"/>
                <w:szCs w:val="18"/>
              </w:rPr>
              <w:t>Historical retention of data is limited</w:t>
            </w:r>
          </w:p>
          <w:p w14:paraId="49029306" w14:textId="77777777" w:rsidR="00BF2700" w:rsidRDefault="00BF2700" w:rsidP="002927C9">
            <w:pPr>
              <w:pStyle w:val="ListParagraph"/>
              <w:numPr>
                <w:ilvl w:val="0"/>
                <w:numId w:val="6"/>
              </w:numPr>
              <w:rPr>
                <w:sz w:val="18"/>
                <w:szCs w:val="18"/>
              </w:rPr>
            </w:pPr>
            <w:r>
              <w:rPr>
                <w:sz w:val="18"/>
                <w:szCs w:val="18"/>
              </w:rPr>
              <w:t>Denormalized data models extracted from other source systems in support of operational event decision making</w:t>
            </w:r>
          </w:p>
        </w:tc>
      </w:tr>
      <w:tr w:rsidR="00BF2700" w:rsidRPr="00D93716" w14:paraId="649385EA" w14:textId="77777777" w:rsidTr="002927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1809" w:type="dxa"/>
            <w:tcBorders>
              <w:top w:val="single" w:sz="4" w:space="0" w:color="auto"/>
              <w:left w:val="nil"/>
              <w:bottom w:val="single" w:sz="4" w:space="0" w:color="auto"/>
              <w:right w:val="nil"/>
            </w:tcBorders>
          </w:tcPr>
          <w:p w14:paraId="63155A16" w14:textId="77777777" w:rsidR="00BF2700" w:rsidRDefault="00BF2700" w:rsidP="002927C9">
            <w:pPr>
              <w:rPr>
                <w:b/>
                <w:sz w:val="18"/>
                <w:szCs w:val="18"/>
              </w:rPr>
            </w:pPr>
          </w:p>
          <w:p w14:paraId="452DE7B8" w14:textId="77777777" w:rsidR="00BF2700" w:rsidRPr="00D93716" w:rsidRDefault="00BF2700" w:rsidP="002927C9">
            <w:pPr>
              <w:rPr>
                <w:b/>
                <w:sz w:val="18"/>
                <w:szCs w:val="18"/>
              </w:rPr>
            </w:pPr>
            <w:r w:rsidRPr="00D93716">
              <w:rPr>
                <w:b/>
                <w:sz w:val="18"/>
                <w:szCs w:val="18"/>
              </w:rPr>
              <w:t>Data Architecture</w:t>
            </w:r>
          </w:p>
          <w:p w14:paraId="0D1F53A4" w14:textId="77777777" w:rsidR="00BF2700" w:rsidRPr="00D93716" w:rsidRDefault="00BF2700" w:rsidP="002927C9">
            <w:pPr>
              <w:rPr>
                <w:b/>
                <w:sz w:val="18"/>
                <w:szCs w:val="18"/>
              </w:rPr>
            </w:pPr>
          </w:p>
        </w:tc>
        <w:tc>
          <w:tcPr>
            <w:tcW w:w="3828" w:type="dxa"/>
            <w:tcBorders>
              <w:top w:val="single" w:sz="4" w:space="0" w:color="auto"/>
              <w:left w:val="nil"/>
              <w:bottom w:val="single" w:sz="4" w:space="0" w:color="auto"/>
              <w:right w:val="nil"/>
            </w:tcBorders>
          </w:tcPr>
          <w:p w14:paraId="05D86D3C" w14:textId="77777777" w:rsidR="00BF2700" w:rsidRDefault="00BF2700" w:rsidP="002927C9">
            <w:pPr>
              <w:pStyle w:val="ListParagraph"/>
              <w:ind w:left="360"/>
              <w:rPr>
                <w:sz w:val="18"/>
                <w:szCs w:val="18"/>
              </w:rPr>
            </w:pPr>
          </w:p>
          <w:p w14:paraId="5AE3422E" w14:textId="77777777" w:rsidR="00BF2700" w:rsidRDefault="00BF2700" w:rsidP="002927C9">
            <w:pPr>
              <w:pStyle w:val="ListParagraph"/>
              <w:numPr>
                <w:ilvl w:val="0"/>
                <w:numId w:val="6"/>
              </w:numPr>
              <w:rPr>
                <w:sz w:val="18"/>
                <w:szCs w:val="18"/>
              </w:rPr>
            </w:pPr>
            <w:r w:rsidRPr="00D93716">
              <w:rPr>
                <w:sz w:val="18"/>
                <w:szCs w:val="18"/>
              </w:rPr>
              <w:t>Significant use of heap table structures</w:t>
            </w:r>
          </w:p>
          <w:p w14:paraId="5B6EBF11" w14:textId="77777777" w:rsidR="00BF2700" w:rsidRDefault="00BF2700" w:rsidP="002927C9">
            <w:pPr>
              <w:pStyle w:val="ListParagraph"/>
              <w:numPr>
                <w:ilvl w:val="0"/>
                <w:numId w:val="6"/>
              </w:numPr>
              <w:rPr>
                <w:sz w:val="18"/>
                <w:szCs w:val="18"/>
              </w:rPr>
            </w:pPr>
            <w:r w:rsidRPr="00D93716">
              <w:rPr>
                <w:sz w:val="18"/>
                <w:szCs w:val="18"/>
              </w:rPr>
              <w:t xml:space="preserve">Large </w:t>
            </w:r>
            <w:r>
              <w:rPr>
                <w:sz w:val="18"/>
                <w:szCs w:val="18"/>
              </w:rPr>
              <w:t>partitioned tables with clustered indexes supporting</w:t>
            </w:r>
            <w:r w:rsidRPr="00D93716">
              <w:rPr>
                <w:sz w:val="18"/>
                <w:szCs w:val="18"/>
              </w:rPr>
              <w:t xml:space="preserve"> range</w:t>
            </w:r>
            <w:r>
              <w:rPr>
                <w:sz w:val="18"/>
                <w:szCs w:val="18"/>
              </w:rPr>
              <w:t xml:space="preserve">-restricted </w:t>
            </w:r>
            <w:r w:rsidRPr="00D93716">
              <w:rPr>
                <w:sz w:val="18"/>
                <w:szCs w:val="18"/>
              </w:rPr>
              <w:t>scans</w:t>
            </w:r>
          </w:p>
          <w:p w14:paraId="42A4DFA5" w14:textId="77777777" w:rsidR="00BF2700" w:rsidRDefault="00BF2700" w:rsidP="002927C9">
            <w:pPr>
              <w:pStyle w:val="ListParagraph"/>
              <w:numPr>
                <w:ilvl w:val="0"/>
                <w:numId w:val="6"/>
              </w:numPr>
              <w:rPr>
                <w:sz w:val="18"/>
                <w:szCs w:val="18"/>
              </w:rPr>
            </w:pPr>
            <w:r w:rsidRPr="00D93716">
              <w:rPr>
                <w:sz w:val="18"/>
                <w:szCs w:val="18"/>
              </w:rPr>
              <w:t xml:space="preserve">Very large fact tables </w:t>
            </w:r>
            <w:r>
              <w:rPr>
                <w:sz w:val="18"/>
                <w:szCs w:val="18"/>
              </w:rPr>
              <w:t>(for example,</w:t>
            </w:r>
            <w:r w:rsidRPr="00D93716">
              <w:rPr>
                <w:sz w:val="18"/>
                <w:szCs w:val="18"/>
              </w:rPr>
              <w:t xml:space="preserve"> </w:t>
            </w:r>
            <w:r>
              <w:rPr>
                <w:sz w:val="18"/>
                <w:szCs w:val="18"/>
              </w:rPr>
              <w:t>hundreds of gigabytes to multiple terabytes)</w:t>
            </w:r>
          </w:p>
          <w:p w14:paraId="4A248911" w14:textId="77777777" w:rsidR="00BF2700" w:rsidRDefault="00BF2700" w:rsidP="002927C9">
            <w:pPr>
              <w:pStyle w:val="ListParagraph"/>
              <w:numPr>
                <w:ilvl w:val="0"/>
                <w:numId w:val="6"/>
              </w:numPr>
              <w:rPr>
                <w:sz w:val="18"/>
                <w:szCs w:val="18"/>
              </w:rPr>
            </w:pPr>
            <w:r w:rsidRPr="00D93716">
              <w:rPr>
                <w:sz w:val="18"/>
                <w:szCs w:val="18"/>
              </w:rPr>
              <w:t xml:space="preserve">Very large data sizes </w:t>
            </w:r>
            <w:r>
              <w:rPr>
                <w:sz w:val="18"/>
                <w:szCs w:val="18"/>
              </w:rPr>
              <w:t>(for example,</w:t>
            </w:r>
            <w:r w:rsidRPr="00D93716">
              <w:rPr>
                <w:sz w:val="18"/>
                <w:szCs w:val="18"/>
              </w:rPr>
              <w:t xml:space="preserve"> </w:t>
            </w:r>
            <w:r>
              <w:rPr>
                <w:sz w:val="18"/>
                <w:szCs w:val="18"/>
              </w:rPr>
              <w:t>hundreds of terabytes to a petabyte)</w:t>
            </w:r>
          </w:p>
        </w:tc>
        <w:tc>
          <w:tcPr>
            <w:tcW w:w="3939" w:type="dxa"/>
            <w:gridSpan w:val="2"/>
            <w:tcBorders>
              <w:top w:val="single" w:sz="4" w:space="0" w:color="auto"/>
              <w:left w:val="nil"/>
              <w:bottom w:val="single" w:sz="4" w:space="0" w:color="auto"/>
              <w:right w:val="nil"/>
            </w:tcBorders>
          </w:tcPr>
          <w:p w14:paraId="76AB3FFE" w14:textId="77777777" w:rsidR="00BF2700" w:rsidRDefault="00BF2700" w:rsidP="002927C9">
            <w:pPr>
              <w:pStyle w:val="ListParagraph"/>
              <w:ind w:left="360"/>
              <w:rPr>
                <w:sz w:val="18"/>
                <w:szCs w:val="18"/>
              </w:rPr>
            </w:pPr>
          </w:p>
          <w:p w14:paraId="22C2E5EA" w14:textId="77777777" w:rsidR="00BF2700" w:rsidRDefault="00BF2700" w:rsidP="002927C9">
            <w:pPr>
              <w:pStyle w:val="ListParagraph"/>
              <w:numPr>
                <w:ilvl w:val="0"/>
                <w:numId w:val="6"/>
              </w:numPr>
              <w:rPr>
                <w:sz w:val="18"/>
                <w:szCs w:val="18"/>
              </w:rPr>
            </w:pPr>
            <w:r w:rsidRPr="00D93716">
              <w:rPr>
                <w:sz w:val="18"/>
                <w:szCs w:val="18"/>
              </w:rPr>
              <w:t>Minimal use of heap table structures</w:t>
            </w:r>
          </w:p>
          <w:p w14:paraId="29FB188D" w14:textId="77777777" w:rsidR="00BF2700" w:rsidRDefault="00BF2700" w:rsidP="002927C9">
            <w:pPr>
              <w:pStyle w:val="ListParagraph"/>
              <w:numPr>
                <w:ilvl w:val="0"/>
                <w:numId w:val="6"/>
              </w:numPr>
              <w:rPr>
                <w:sz w:val="18"/>
                <w:szCs w:val="18"/>
              </w:rPr>
            </w:pPr>
            <w:r w:rsidRPr="00D93716">
              <w:rPr>
                <w:sz w:val="18"/>
                <w:szCs w:val="18"/>
              </w:rPr>
              <w:t>Cluster</w:t>
            </w:r>
            <w:r>
              <w:rPr>
                <w:sz w:val="18"/>
                <w:szCs w:val="18"/>
              </w:rPr>
              <w:t>ed</w:t>
            </w:r>
            <w:r w:rsidRPr="00D93716">
              <w:rPr>
                <w:sz w:val="18"/>
                <w:szCs w:val="18"/>
              </w:rPr>
              <w:t xml:space="preserve"> </w:t>
            </w:r>
            <w:r>
              <w:rPr>
                <w:sz w:val="18"/>
                <w:szCs w:val="18"/>
              </w:rPr>
              <w:t>i</w:t>
            </w:r>
            <w:r w:rsidRPr="00D93716">
              <w:rPr>
                <w:sz w:val="18"/>
                <w:szCs w:val="18"/>
              </w:rPr>
              <w:t>ndex table structures</w:t>
            </w:r>
            <w:r>
              <w:rPr>
                <w:sz w:val="18"/>
                <w:szCs w:val="18"/>
              </w:rPr>
              <w:t xml:space="preserve"> that</w:t>
            </w:r>
            <w:r w:rsidRPr="00D93716">
              <w:rPr>
                <w:sz w:val="18"/>
                <w:szCs w:val="18"/>
              </w:rPr>
              <w:t xml:space="preserve"> support detailed record lookups (1 to few rows per request)</w:t>
            </w:r>
          </w:p>
          <w:p w14:paraId="20E9AB32" w14:textId="77777777" w:rsidR="00BF2700" w:rsidRDefault="00BF2700" w:rsidP="002927C9">
            <w:pPr>
              <w:pStyle w:val="ListParagraph"/>
              <w:numPr>
                <w:ilvl w:val="0"/>
                <w:numId w:val="6"/>
              </w:numPr>
              <w:rPr>
                <w:sz w:val="18"/>
                <w:szCs w:val="18"/>
              </w:rPr>
            </w:pPr>
            <w:r w:rsidRPr="00D93716">
              <w:rPr>
                <w:sz w:val="18"/>
                <w:szCs w:val="18"/>
              </w:rPr>
              <w:t xml:space="preserve">Smaller fact tables </w:t>
            </w:r>
            <w:r>
              <w:rPr>
                <w:sz w:val="18"/>
                <w:szCs w:val="18"/>
              </w:rPr>
              <w:t>(for example</w:t>
            </w:r>
            <w:r w:rsidRPr="00D93716">
              <w:rPr>
                <w:sz w:val="18"/>
                <w:szCs w:val="18"/>
              </w:rPr>
              <w:t xml:space="preserve">, </w:t>
            </w:r>
            <w:r>
              <w:rPr>
                <w:sz w:val="18"/>
                <w:szCs w:val="18"/>
              </w:rPr>
              <w:t>less than</w:t>
            </w:r>
            <w:r w:rsidRPr="00D93716">
              <w:rPr>
                <w:sz w:val="18"/>
                <w:szCs w:val="18"/>
              </w:rPr>
              <w:t>100 GB</w:t>
            </w:r>
            <w:r>
              <w:rPr>
                <w:sz w:val="18"/>
                <w:szCs w:val="18"/>
              </w:rPr>
              <w:t>)</w:t>
            </w:r>
          </w:p>
          <w:p w14:paraId="3F596C10" w14:textId="77777777" w:rsidR="00BF2700" w:rsidRDefault="00BF2700" w:rsidP="002927C9">
            <w:pPr>
              <w:pStyle w:val="ListParagraph"/>
              <w:numPr>
                <w:ilvl w:val="0"/>
                <w:numId w:val="6"/>
              </w:numPr>
              <w:rPr>
                <w:sz w:val="18"/>
                <w:szCs w:val="18"/>
              </w:rPr>
            </w:pPr>
            <w:r w:rsidRPr="00D93716">
              <w:rPr>
                <w:sz w:val="18"/>
                <w:szCs w:val="18"/>
              </w:rPr>
              <w:t xml:space="preserve">Relatively small data sizes </w:t>
            </w:r>
            <w:r>
              <w:rPr>
                <w:sz w:val="18"/>
                <w:szCs w:val="18"/>
              </w:rPr>
              <w:t>(for example</w:t>
            </w:r>
            <w:r w:rsidRPr="00D93716">
              <w:rPr>
                <w:sz w:val="18"/>
                <w:szCs w:val="18"/>
              </w:rPr>
              <w:t>,</w:t>
            </w:r>
            <w:r>
              <w:rPr>
                <w:sz w:val="18"/>
                <w:szCs w:val="18"/>
              </w:rPr>
              <w:t xml:space="preserve"> a </w:t>
            </w:r>
            <w:r w:rsidRPr="00D93716">
              <w:rPr>
                <w:sz w:val="18"/>
                <w:szCs w:val="18"/>
              </w:rPr>
              <w:t xml:space="preserve">few </w:t>
            </w:r>
            <w:r>
              <w:rPr>
                <w:sz w:val="18"/>
                <w:szCs w:val="18"/>
              </w:rPr>
              <w:t>terabytes)</w:t>
            </w:r>
          </w:p>
        </w:tc>
      </w:tr>
      <w:tr w:rsidR="00BF2700" w:rsidRPr="00D93716" w14:paraId="25273523" w14:textId="77777777" w:rsidTr="002927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700"/>
        </w:trPr>
        <w:tc>
          <w:tcPr>
            <w:tcW w:w="1809" w:type="dxa"/>
            <w:tcBorders>
              <w:top w:val="single" w:sz="4" w:space="0" w:color="auto"/>
              <w:left w:val="nil"/>
              <w:bottom w:val="nil"/>
              <w:right w:val="nil"/>
            </w:tcBorders>
          </w:tcPr>
          <w:p w14:paraId="0A8555A0" w14:textId="77777777" w:rsidR="00BF2700" w:rsidRDefault="00BF2700" w:rsidP="002927C9">
            <w:pPr>
              <w:rPr>
                <w:b/>
                <w:sz w:val="18"/>
                <w:szCs w:val="18"/>
              </w:rPr>
            </w:pPr>
          </w:p>
          <w:p w14:paraId="38329904" w14:textId="77777777" w:rsidR="00BF2700" w:rsidRPr="00D93716" w:rsidRDefault="00BF2700" w:rsidP="002927C9">
            <w:pPr>
              <w:rPr>
                <w:b/>
                <w:sz w:val="18"/>
                <w:szCs w:val="18"/>
              </w:rPr>
            </w:pPr>
            <w:r w:rsidRPr="00D93716">
              <w:rPr>
                <w:b/>
                <w:sz w:val="18"/>
                <w:szCs w:val="18"/>
              </w:rPr>
              <w:t>Database Optimization</w:t>
            </w:r>
          </w:p>
          <w:p w14:paraId="082509A5" w14:textId="77777777" w:rsidR="00BF2700" w:rsidRPr="00D93716" w:rsidRDefault="00BF2700" w:rsidP="002927C9">
            <w:pPr>
              <w:rPr>
                <w:b/>
                <w:sz w:val="18"/>
                <w:szCs w:val="18"/>
              </w:rPr>
            </w:pPr>
          </w:p>
        </w:tc>
        <w:tc>
          <w:tcPr>
            <w:tcW w:w="3828" w:type="dxa"/>
            <w:tcBorders>
              <w:top w:val="single" w:sz="4" w:space="0" w:color="auto"/>
              <w:left w:val="nil"/>
              <w:bottom w:val="nil"/>
              <w:right w:val="nil"/>
            </w:tcBorders>
          </w:tcPr>
          <w:p w14:paraId="0FEFB498" w14:textId="77777777" w:rsidR="00BF2700" w:rsidRDefault="00BF2700" w:rsidP="002927C9">
            <w:pPr>
              <w:pStyle w:val="ListParagraph"/>
              <w:ind w:left="360"/>
              <w:rPr>
                <w:sz w:val="18"/>
                <w:szCs w:val="18"/>
              </w:rPr>
            </w:pPr>
          </w:p>
          <w:p w14:paraId="79EFE0CA" w14:textId="77777777" w:rsidR="00BF2700" w:rsidRDefault="00BF2700" w:rsidP="002927C9">
            <w:pPr>
              <w:pStyle w:val="ListParagraph"/>
              <w:numPr>
                <w:ilvl w:val="0"/>
                <w:numId w:val="6"/>
              </w:numPr>
              <w:rPr>
                <w:sz w:val="18"/>
                <w:szCs w:val="18"/>
              </w:rPr>
            </w:pPr>
            <w:r w:rsidRPr="00D93716">
              <w:rPr>
                <w:sz w:val="18"/>
                <w:szCs w:val="18"/>
              </w:rPr>
              <w:t xml:space="preserve">Minimal use of secondary indexes </w:t>
            </w:r>
            <w:r>
              <w:rPr>
                <w:sz w:val="18"/>
                <w:szCs w:val="18"/>
              </w:rPr>
              <w:t>(described earlier as index-light)</w:t>
            </w:r>
          </w:p>
          <w:p w14:paraId="028FA0B8" w14:textId="77777777" w:rsidR="00BF2700" w:rsidRDefault="00BF2700" w:rsidP="002927C9">
            <w:pPr>
              <w:pStyle w:val="ListParagraph"/>
              <w:numPr>
                <w:ilvl w:val="0"/>
                <w:numId w:val="6"/>
              </w:numPr>
              <w:rPr>
                <w:sz w:val="18"/>
                <w:szCs w:val="18"/>
              </w:rPr>
            </w:pPr>
            <w:r w:rsidRPr="00D93716">
              <w:rPr>
                <w:sz w:val="18"/>
                <w:szCs w:val="18"/>
              </w:rPr>
              <w:t>Partitioning is common</w:t>
            </w:r>
          </w:p>
        </w:tc>
        <w:tc>
          <w:tcPr>
            <w:tcW w:w="3939" w:type="dxa"/>
            <w:gridSpan w:val="2"/>
            <w:tcBorders>
              <w:top w:val="single" w:sz="4" w:space="0" w:color="auto"/>
              <w:left w:val="nil"/>
              <w:bottom w:val="nil"/>
              <w:right w:val="nil"/>
            </w:tcBorders>
          </w:tcPr>
          <w:p w14:paraId="5B1565B8" w14:textId="77777777" w:rsidR="00BF2700" w:rsidRDefault="00BF2700" w:rsidP="002927C9">
            <w:pPr>
              <w:pStyle w:val="ListParagraph"/>
              <w:ind w:left="360"/>
              <w:rPr>
                <w:sz w:val="18"/>
                <w:szCs w:val="18"/>
              </w:rPr>
            </w:pPr>
          </w:p>
          <w:p w14:paraId="5EEC2A7F" w14:textId="77777777" w:rsidR="00BF2700" w:rsidRDefault="00BF2700" w:rsidP="002927C9">
            <w:pPr>
              <w:pStyle w:val="ListParagraph"/>
              <w:numPr>
                <w:ilvl w:val="0"/>
                <w:numId w:val="6"/>
              </w:numPr>
              <w:rPr>
                <w:sz w:val="18"/>
                <w:szCs w:val="18"/>
              </w:rPr>
            </w:pPr>
            <w:r w:rsidRPr="00D93716">
              <w:rPr>
                <w:sz w:val="18"/>
                <w:szCs w:val="18"/>
              </w:rPr>
              <w:t>Heavy utilization of secondary index optimization</w:t>
            </w:r>
          </w:p>
        </w:tc>
      </w:tr>
    </w:tbl>
    <w:p w14:paraId="6C2E41E0" w14:textId="77777777" w:rsidR="00BF2700" w:rsidRDefault="00BF2700" w:rsidP="00BF2700">
      <w:pPr>
        <w:pStyle w:val="Heading1"/>
      </w:pPr>
      <w:bookmarkStart w:id="7" w:name="_Toc284834165"/>
      <w:r>
        <w:t>Choosing a FTDW Reference Configuration</w:t>
      </w:r>
      <w:bookmarkEnd w:id="7"/>
    </w:p>
    <w:p w14:paraId="45A21720" w14:textId="77777777" w:rsidR="00BF2700" w:rsidRDefault="00BF2700" w:rsidP="00BF2700">
      <w:r>
        <w:t xml:space="preserve">There are three general approaches to using the FTDW methodology described within this document. The first two are specific to the use of published, conforming Fast Track reference architectures for data warehousing. These approaches enable the selection of predesigned systems published as part of the FTDW program. The third approach treats core Fast Track methodology as a guideline for the creation of a user-defined data warehousing system. This </w:t>
      </w:r>
      <w:r>
        <w:lastRenderedPageBreak/>
        <w:t>final approach implies detailed workload profiling and system benchmarking in advance of purchase or deployment. It requires a high degree of technical knowledge.</w:t>
      </w:r>
    </w:p>
    <w:tbl>
      <w:tblPr>
        <w:tblStyle w:val="LightGrid-Accent1"/>
        <w:tblW w:w="0" w:type="auto"/>
        <w:tblLook w:val="04A0" w:firstRow="1" w:lastRow="0" w:firstColumn="1" w:lastColumn="0" w:noHBand="0" w:noVBand="1"/>
      </w:tblPr>
      <w:tblGrid>
        <w:gridCol w:w="2093"/>
        <w:gridCol w:w="3685"/>
        <w:gridCol w:w="3685"/>
      </w:tblGrid>
      <w:tr w:rsidR="00BF2700" w:rsidRPr="00184881" w14:paraId="22F0EF2E" w14:textId="77777777" w:rsidTr="00292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65DFE10" w14:textId="77777777" w:rsidR="00BF2700" w:rsidRPr="00184881" w:rsidRDefault="00BF2700" w:rsidP="002927C9">
            <w:pPr>
              <w:jc w:val="center"/>
              <w:rPr>
                <w:color w:val="FFFFFF" w:themeColor="background1"/>
              </w:rPr>
            </w:pPr>
            <w:r w:rsidRPr="00184881">
              <w:t>Option</w:t>
            </w:r>
          </w:p>
        </w:tc>
        <w:tc>
          <w:tcPr>
            <w:tcW w:w="3685" w:type="dxa"/>
          </w:tcPr>
          <w:p w14:paraId="0EE8AB0B" w14:textId="77777777" w:rsidR="00BF2700" w:rsidRPr="00184881" w:rsidRDefault="00BF2700" w:rsidP="002927C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881">
              <w:t>Pros</w:t>
            </w:r>
          </w:p>
        </w:tc>
        <w:tc>
          <w:tcPr>
            <w:tcW w:w="3685" w:type="dxa"/>
          </w:tcPr>
          <w:p w14:paraId="0EF688F6" w14:textId="77777777" w:rsidR="00BF2700" w:rsidRPr="00184881" w:rsidRDefault="00BF2700" w:rsidP="002927C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881">
              <w:t>Cons</w:t>
            </w:r>
          </w:p>
        </w:tc>
      </w:tr>
      <w:tr w:rsidR="00BF2700" w:rsidRPr="00184881" w14:paraId="30946B4E"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01478D4" w14:textId="77777777" w:rsidR="00BF2700" w:rsidRPr="00184881" w:rsidRDefault="00BF2700" w:rsidP="002927C9">
            <w:pPr>
              <w:rPr>
                <w:color w:val="FFFFFF" w:themeColor="background1"/>
                <w:sz w:val="18"/>
                <w:szCs w:val="18"/>
              </w:rPr>
            </w:pPr>
            <w:r w:rsidRPr="00184881">
              <w:rPr>
                <w:sz w:val="18"/>
                <w:szCs w:val="18"/>
              </w:rPr>
              <w:t>1. Basic Evaluation</w:t>
            </w:r>
          </w:p>
        </w:tc>
        <w:tc>
          <w:tcPr>
            <w:tcW w:w="3685" w:type="dxa"/>
          </w:tcPr>
          <w:p w14:paraId="7C6C0A92" w14:textId="77777777" w:rsidR="00BF2700" w:rsidRPr="00184881" w:rsidRDefault="00BF2700" w:rsidP="002927C9">
            <w:pPr>
              <w:numPr>
                <w:ilvl w:val="0"/>
                <w:numId w:val="40"/>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Very fast system set-up and procurement (days to weeks)</w:t>
            </w:r>
          </w:p>
          <w:p w14:paraId="57DE6DA9" w14:textId="77777777" w:rsidR="00BF2700" w:rsidRPr="00184881" w:rsidRDefault="00BF2700" w:rsidP="002927C9">
            <w:pPr>
              <w:numPr>
                <w:ilvl w:val="0"/>
                <w:numId w:val="40"/>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Minimize cost of design and evaluation</w:t>
            </w:r>
          </w:p>
          <w:p w14:paraId="0B21D885" w14:textId="77777777" w:rsidR="00BF2700" w:rsidRPr="00184881" w:rsidRDefault="00BF2700" w:rsidP="002927C9">
            <w:pPr>
              <w:numPr>
                <w:ilvl w:val="0"/>
                <w:numId w:val="40"/>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 xml:space="preserve">Lower infrastructure skill requirements </w:t>
            </w:r>
          </w:p>
        </w:tc>
        <w:tc>
          <w:tcPr>
            <w:tcW w:w="3685" w:type="dxa"/>
          </w:tcPr>
          <w:p w14:paraId="2C7C1DEA" w14:textId="77777777" w:rsidR="00BF2700" w:rsidRPr="00184881" w:rsidRDefault="00BF2700" w:rsidP="002927C9">
            <w:pPr>
              <w:numPr>
                <w:ilvl w:val="0"/>
                <w:numId w:val="40"/>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Possibility of over-specified storage or under-specified CPU</w:t>
            </w:r>
          </w:p>
        </w:tc>
      </w:tr>
      <w:tr w:rsidR="00BF2700" w:rsidRPr="00184881" w14:paraId="54A90DDD" w14:textId="77777777" w:rsidTr="00292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8E56C3F" w14:textId="77777777" w:rsidR="00BF2700" w:rsidRPr="00184881" w:rsidRDefault="00BF2700" w:rsidP="002927C9">
            <w:pPr>
              <w:rPr>
                <w:color w:val="FFFFFF" w:themeColor="background1"/>
                <w:sz w:val="18"/>
                <w:szCs w:val="18"/>
              </w:rPr>
            </w:pPr>
            <w:r w:rsidRPr="00184881">
              <w:rPr>
                <w:sz w:val="18"/>
                <w:szCs w:val="18"/>
              </w:rPr>
              <w:t>2. Full Evaluation</w:t>
            </w:r>
          </w:p>
        </w:tc>
        <w:tc>
          <w:tcPr>
            <w:tcW w:w="3685" w:type="dxa"/>
          </w:tcPr>
          <w:p w14:paraId="24768FB8" w14:textId="77777777" w:rsidR="00BF2700" w:rsidRPr="00184881" w:rsidRDefault="00BF2700" w:rsidP="002927C9">
            <w:pPr>
              <w:numPr>
                <w:ilvl w:val="0"/>
                <w:numId w:val="41"/>
              </w:numPr>
              <w:ind w:left="459" w:hanging="283"/>
              <w:contextualSpacing/>
              <w:cnfStyle w:val="000000010000" w:firstRow="0" w:lastRow="0" w:firstColumn="0" w:lastColumn="0" w:oddVBand="0" w:evenVBand="0" w:oddHBand="0" w:evenHBand="1" w:firstRowFirstColumn="0" w:firstRowLastColumn="0" w:lastRowFirstColumn="0" w:lastRowLastColumn="0"/>
              <w:rPr>
                <w:sz w:val="18"/>
                <w:szCs w:val="18"/>
              </w:rPr>
            </w:pPr>
            <w:r w:rsidRPr="00184881">
              <w:rPr>
                <w:sz w:val="18"/>
                <w:szCs w:val="18"/>
              </w:rPr>
              <w:t>Predefined reference architecture tailored to expected workload</w:t>
            </w:r>
          </w:p>
          <w:p w14:paraId="73744FB8" w14:textId="77777777" w:rsidR="00BF2700" w:rsidRPr="00184881" w:rsidRDefault="00BF2700" w:rsidP="002927C9">
            <w:pPr>
              <w:numPr>
                <w:ilvl w:val="0"/>
                <w:numId w:val="41"/>
              </w:numPr>
              <w:ind w:left="459" w:hanging="283"/>
              <w:contextualSpacing/>
              <w:cnfStyle w:val="000000010000" w:firstRow="0" w:lastRow="0" w:firstColumn="0" w:lastColumn="0" w:oddVBand="0" w:evenVBand="0" w:oddHBand="0" w:evenHBand="1" w:firstRowFirstColumn="0" w:firstRowLastColumn="0" w:lastRowFirstColumn="0" w:lastRowLastColumn="0"/>
              <w:rPr>
                <w:sz w:val="18"/>
                <w:szCs w:val="18"/>
              </w:rPr>
            </w:pPr>
            <w:r w:rsidRPr="00184881">
              <w:rPr>
                <w:sz w:val="18"/>
                <w:szCs w:val="18"/>
              </w:rPr>
              <w:t>Potential for cost-saving on hardware</w:t>
            </w:r>
          </w:p>
          <w:p w14:paraId="502349CB" w14:textId="77777777" w:rsidR="00BF2700" w:rsidRPr="00184881" w:rsidRDefault="00BF2700" w:rsidP="002927C9">
            <w:pPr>
              <w:numPr>
                <w:ilvl w:val="0"/>
                <w:numId w:val="41"/>
              </w:numPr>
              <w:ind w:left="459" w:hanging="283"/>
              <w:contextualSpacing/>
              <w:cnfStyle w:val="000000010000" w:firstRow="0" w:lastRow="0" w:firstColumn="0" w:lastColumn="0" w:oddVBand="0" w:evenVBand="0" w:oddHBand="0" w:evenHBand="1" w:firstRowFirstColumn="0" w:firstRowLastColumn="0" w:lastRowFirstColumn="0" w:lastRowLastColumn="0"/>
              <w:rPr>
                <w:sz w:val="18"/>
                <w:szCs w:val="18"/>
              </w:rPr>
            </w:pPr>
            <w:r w:rsidRPr="00184881">
              <w:rPr>
                <w:sz w:val="18"/>
                <w:szCs w:val="18"/>
              </w:rPr>
              <w:t>Increased confidence in solution</w:t>
            </w:r>
          </w:p>
        </w:tc>
        <w:tc>
          <w:tcPr>
            <w:tcW w:w="3685" w:type="dxa"/>
          </w:tcPr>
          <w:p w14:paraId="74D2C5A3" w14:textId="77777777" w:rsidR="00BF2700" w:rsidRPr="00184881" w:rsidRDefault="00BF2700" w:rsidP="002927C9">
            <w:pPr>
              <w:numPr>
                <w:ilvl w:val="0"/>
                <w:numId w:val="41"/>
              </w:numPr>
              <w:ind w:left="459" w:hanging="283"/>
              <w:contextualSpacing/>
              <w:cnfStyle w:val="000000010000" w:firstRow="0" w:lastRow="0" w:firstColumn="0" w:lastColumn="0" w:oddVBand="0" w:evenVBand="0" w:oddHBand="0" w:evenHBand="1" w:firstRowFirstColumn="0" w:firstRowLastColumn="0" w:lastRowFirstColumn="0" w:lastRowLastColumn="0"/>
              <w:rPr>
                <w:sz w:val="18"/>
                <w:szCs w:val="18"/>
              </w:rPr>
            </w:pPr>
            <w:r w:rsidRPr="00184881">
              <w:rPr>
                <w:sz w:val="18"/>
                <w:szCs w:val="18"/>
              </w:rPr>
              <w:t>Evaluation takes effort and time (weeks to months)</w:t>
            </w:r>
          </w:p>
          <w:p w14:paraId="54F4F6B3" w14:textId="77777777" w:rsidR="00BF2700" w:rsidRPr="00184881" w:rsidRDefault="00BF2700" w:rsidP="002927C9">
            <w:pPr>
              <w:numPr>
                <w:ilvl w:val="0"/>
                <w:numId w:val="41"/>
              </w:numPr>
              <w:ind w:left="459" w:hanging="283"/>
              <w:contextualSpacing/>
              <w:cnfStyle w:val="000000010000" w:firstRow="0" w:lastRow="0" w:firstColumn="0" w:lastColumn="0" w:oddVBand="0" w:evenVBand="0" w:oddHBand="0" w:evenHBand="1" w:firstRowFirstColumn="0" w:firstRowLastColumn="0" w:lastRowFirstColumn="0" w:lastRowLastColumn="0"/>
              <w:rPr>
                <w:sz w:val="18"/>
                <w:szCs w:val="18"/>
              </w:rPr>
            </w:pPr>
            <w:r w:rsidRPr="00184881">
              <w:rPr>
                <w:sz w:val="18"/>
                <w:szCs w:val="18"/>
              </w:rPr>
              <w:t>Requires detailed understanding of target workload</w:t>
            </w:r>
          </w:p>
        </w:tc>
      </w:tr>
      <w:tr w:rsidR="00BF2700" w:rsidRPr="00184881" w14:paraId="0D9E14DD"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485B325" w14:textId="77777777" w:rsidR="00BF2700" w:rsidRPr="00184881" w:rsidRDefault="00BF2700" w:rsidP="002927C9">
            <w:pPr>
              <w:rPr>
                <w:color w:val="FFFFFF" w:themeColor="background1"/>
                <w:sz w:val="18"/>
                <w:szCs w:val="18"/>
              </w:rPr>
            </w:pPr>
            <w:r w:rsidRPr="00184881">
              <w:rPr>
                <w:sz w:val="18"/>
                <w:szCs w:val="18"/>
              </w:rPr>
              <w:t>3. User-defined Reference Architecture</w:t>
            </w:r>
          </w:p>
        </w:tc>
        <w:tc>
          <w:tcPr>
            <w:tcW w:w="3685" w:type="dxa"/>
          </w:tcPr>
          <w:p w14:paraId="483686CE" w14:textId="77777777" w:rsidR="00BF2700" w:rsidRPr="00184881" w:rsidRDefault="00BF2700" w:rsidP="002927C9">
            <w:pPr>
              <w:numPr>
                <w:ilvl w:val="0"/>
                <w:numId w:val="42"/>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Potential to reuse existing hardware</w:t>
            </w:r>
          </w:p>
          <w:p w14:paraId="6EDE6A1E" w14:textId="77777777" w:rsidR="00BF2700" w:rsidRPr="00184881" w:rsidRDefault="00BF2700" w:rsidP="002927C9">
            <w:pPr>
              <w:numPr>
                <w:ilvl w:val="0"/>
                <w:numId w:val="42"/>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Potential to incorporate latest hardware</w:t>
            </w:r>
          </w:p>
          <w:p w14:paraId="659A0692" w14:textId="77777777" w:rsidR="00BF2700" w:rsidRPr="00184881" w:rsidRDefault="00BF2700" w:rsidP="002927C9">
            <w:pPr>
              <w:numPr>
                <w:ilvl w:val="0"/>
                <w:numId w:val="42"/>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System highly tailored for your use-case</w:t>
            </w:r>
          </w:p>
        </w:tc>
        <w:tc>
          <w:tcPr>
            <w:tcW w:w="3685" w:type="dxa"/>
          </w:tcPr>
          <w:p w14:paraId="60FAEAAD" w14:textId="77777777" w:rsidR="00BF2700" w:rsidRPr="00184881" w:rsidRDefault="00BF2700" w:rsidP="002927C9">
            <w:pPr>
              <w:numPr>
                <w:ilvl w:val="0"/>
                <w:numId w:val="42"/>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Process takes several months</w:t>
            </w:r>
          </w:p>
          <w:p w14:paraId="1509CE4F" w14:textId="77777777" w:rsidR="00BF2700" w:rsidRPr="00184881" w:rsidRDefault="00BF2700" w:rsidP="002927C9">
            <w:pPr>
              <w:numPr>
                <w:ilvl w:val="0"/>
                <w:numId w:val="42"/>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 xml:space="preserve">Requires significant infrastructure expertise </w:t>
            </w:r>
          </w:p>
          <w:p w14:paraId="343C6FE9" w14:textId="77777777" w:rsidR="00BF2700" w:rsidRPr="00184881" w:rsidRDefault="00BF2700" w:rsidP="002927C9">
            <w:pPr>
              <w:numPr>
                <w:ilvl w:val="0"/>
                <w:numId w:val="42"/>
              </w:numPr>
              <w:ind w:left="459" w:hanging="283"/>
              <w:contextualSpacing/>
              <w:cnfStyle w:val="000000100000" w:firstRow="0" w:lastRow="0" w:firstColumn="0" w:lastColumn="0" w:oddVBand="0" w:evenVBand="0" w:oddHBand="1" w:evenHBand="0" w:firstRowFirstColumn="0" w:firstRowLastColumn="0" w:lastRowFirstColumn="0" w:lastRowLastColumn="0"/>
              <w:rPr>
                <w:sz w:val="18"/>
                <w:szCs w:val="18"/>
              </w:rPr>
            </w:pPr>
            <w:r w:rsidRPr="00184881">
              <w:rPr>
                <w:sz w:val="18"/>
                <w:szCs w:val="18"/>
              </w:rPr>
              <w:t>Requires significant SQL Server expertise</w:t>
            </w:r>
          </w:p>
        </w:tc>
      </w:tr>
    </w:tbl>
    <w:p w14:paraId="04932640" w14:textId="77777777" w:rsidR="00BF2700" w:rsidRPr="002511DF" w:rsidRDefault="00BF2700" w:rsidP="00BF2700"/>
    <w:p w14:paraId="1C2F0F10" w14:textId="77777777" w:rsidR="00BF2700" w:rsidRDefault="00BF2700" w:rsidP="00BF2700">
      <w:pPr>
        <w:pStyle w:val="Heading2"/>
      </w:pPr>
      <w:bookmarkStart w:id="8" w:name="_Toc284834166"/>
      <w:r>
        <w:t>Option 1: Basic Evaluation</w:t>
      </w:r>
      <w:bookmarkEnd w:id="8"/>
    </w:p>
    <w:p w14:paraId="546199ED" w14:textId="77777777" w:rsidR="00BF2700" w:rsidRPr="00922D6A" w:rsidRDefault="00BF2700" w:rsidP="00BF2700">
      <w:r>
        <w:t>The basic evaluation process describes a scenario in which a full platform evaluation (proof of concept) will not be performed. Instead, the customer has already targeted an FTDW reference configuration or has alternative methods to determine server and CPU requirements.</w:t>
      </w:r>
    </w:p>
    <w:p w14:paraId="3F5AED05" w14:textId="77777777" w:rsidR="00BF2700" w:rsidRDefault="00BF2700" w:rsidP="00BF2700">
      <w:pPr>
        <w:pStyle w:val="Heading3"/>
      </w:pPr>
      <w:r>
        <w:t>Step 1: Evaluate the Customer Use Case</w:t>
      </w:r>
    </w:p>
    <w:p w14:paraId="1E439D14" w14:textId="77777777" w:rsidR="00BF2700" w:rsidRDefault="00BF2700" w:rsidP="00BF2700">
      <w:r>
        <w:t>Fast Track Data Warehouse reference configurations are not one-size-fits-all configurations of software and hardware. Rather, they are configured for the characteristics of a data warehousing workload.</w:t>
      </w:r>
    </w:p>
    <w:p w14:paraId="22EDCDF3" w14:textId="77777777" w:rsidR="00BF2700" w:rsidRDefault="00BF2700" w:rsidP="00BF2700">
      <w:r w:rsidRPr="00AC6596">
        <w:rPr>
          <w:b/>
        </w:rPr>
        <w:t xml:space="preserve">Workload </w:t>
      </w:r>
    </w:p>
    <w:p w14:paraId="1802BA46" w14:textId="77777777" w:rsidR="00BF2700" w:rsidRDefault="00BF2700" w:rsidP="00BF2700">
      <w:r>
        <w:t>FTDW workload definitions provide two key points for use case evaluation. The first is a set of core principles that define key elements of the workload as it relates to SQL Server performance. These principles should be measured carefully against a given use case because conflicts may indicate that a target workload is not appropriate for an FTDW reference architecture.</w:t>
      </w:r>
    </w:p>
    <w:p w14:paraId="3BB0BE7C" w14:textId="77777777" w:rsidR="00BF2700" w:rsidRDefault="00BF2700" w:rsidP="00BF2700">
      <w:r>
        <w:t>The second component to a workload is a general description of the targeted use case. This provides a useful high-level description of the use case in addition to providing a reasonable starting point for evaluating workload fit.</w:t>
      </w:r>
    </w:p>
    <w:p w14:paraId="06887796" w14:textId="77777777" w:rsidR="00BF2700" w:rsidRDefault="00BF2700" w:rsidP="00BF2700">
      <w:r w:rsidRPr="00AC6596">
        <w:rPr>
          <w:b/>
        </w:rPr>
        <w:t>Worklo</w:t>
      </w:r>
      <w:r>
        <w:rPr>
          <w:b/>
        </w:rPr>
        <w:t>ad E</w:t>
      </w:r>
      <w:r w:rsidRPr="00AC6596">
        <w:rPr>
          <w:b/>
        </w:rPr>
        <w:t>valuation</w:t>
      </w:r>
    </w:p>
    <w:p w14:paraId="3C60757B" w14:textId="77777777" w:rsidR="00BF2700" w:rsidRDefault="00BF2700" w:rsidP="00BF2700">
      <w:r>
        <w:t>The following list outlines a basic process for customer workload evaluation. This is a qualitative assessment and should be considered a guideline:</w:t>
      </w:r>
    </w:p>
    <w:p w14:paraId="5B87CE2B" w14:textId="77777777" w:rsidR="00BF2700" w:rsidRDefault="00BF2700" w:rsidP="00BF2700">
      <w:pPr>
        <w:pStyle w:val="ListParagraph"/>
        <w:numPr>
          <w:ilvl w:val="0"/>
          <w:numId w:val="26"/>
        </w:numPr>
      </w:pPr>
      <w:r>
        <w:lastRenderedPageBreak/>
        <w:t>Define the targeted workload requirements. Compare and contrast to FTDW workload attributes. For more information, see the</w:t>
      </w:r>
      <w:r w:rsidRPr="00B0173A">
        <w:t xml:space="preserve"> </w:t>
      </w:r>
      <w:hyperlink w:anchor="_FTDW_Workload_Evaluation" w:history="1">
        <w:r w:rsidRPr="00B0173A">
          <w:rPr>
            <w:rStyle w:val="Hyperlink"/>
          </w:rPr>
          <w:t>FTDW Workload Evaluation</w:t>
        </w:r>
      </w:hyperlink>
      <w:r w:rsidRPr="00B0173A">
        <w:t xml:space="preserve"> </w:t>
      </w:r>
      <w:r>
        <w:t>section of this document.</w:t>
      </w:r>
    </w:p>
    <w:p w14:paraId="03FD2356" w14:textId="77777777" w:rsidR="00BF2700" w:rsidRDefault="00BF2700" w:rsidP="00BF2700">
      <w:pPr>
        <w:pStyle w:val="ListParagraph"/>
        <w:numPr>
          <w:ilvl w:val="0"/>
          <w:numId w:val="26"/>
        </w:numPr>
      </w:pPr>
      <w:r>
        <w:t>Evaluate FTDW best practices. Practices relating to database management and data architecture and system optimization should be evaluated against the target use case and operational environment.</w:t>
      </w:r>
    </w:p>
    <w:p w14:paraId="21415A4F" w14:textId="77777777" w:rsidR="00BF2700" w:rsidRDefault="00BF2700" w:rsidP="00BF2700">
      <w:r>
        <w:rPr>
          <w:b/>
        </w:rPr>
        <w:t>Making a D</w:t>
      </w:r>
      <w:r w:rsidRPr="00AC6596">
        <w:rPr>
          <w:b/>
        </w:rPr>
        <w:t>ecision</w:t>
      </w:r>
    </w:p>
    <w:p w14:paraId="633247C9" w14:textId="77777777" w:rsidR="00BF2700" w:rsidRDefault="00BF2700" w:rsidP="00BF2700">
      <w:r>
        <w:t>The goal of this workload assessment is to ensure that you make a fully informed decision when you choose a published FTDW reference configuration. In reality most data warehousing scenarios represent a mixture of conforming and conflicting attributes relative to the FTDW workload. High priority workload attributes with a strong affinity for Fast Track reference configurations are listed here; primary customer use cases that directly conflict with any of these attributes should be carefully evaluated because they may render the methodology invalid for the use case.</w:t>
      </w:r>
    </w:p>
    <w:p w14:paraId="1AF8E7FA" w14:textId="77777777" w:rsidR="00BF2700" w:rsidRDefault="00BF2700" w:rsidP="00BF2700">
      <w:pPr>
        <w:rPr>
          <w:rStyle w:val="Strong"/>
        </w:rPr>
      </w:pPr>
      <w:r w:rsidRPr="006D763C">
        <w:rPr>
          <w:rStyle w:val="Strong"/>
        </w:rPr>
        <w:t>Workload</w:t>
      </w:r>
    </w:p>
    <w:p w14:paraId="59E82242" w14:textId="77777777" w:rsidR="00BF2700" w:rsidRPr="00D363A3" w:rsidRDefault="00BF2700" w:rsidP="00BF2700">
      <w:pPr>
        <w:rPr>
          <w:rStyle w:val="Strong"/>
          <w:b w:val="0"/>
        </w:rPr>
      </w:pPr>
      <w:r w:rsidRPr="00D363A3">
        <w:rPr>
          <w:rStyle w:val="Strong"/>
          <w:b w:val="0"/>
        </w:rPr>
        <w:t>The following workload attributes are high priority:</w:t>
      </w:r>
    </w:p>
    <w:p w14:paraId="39771FE9" w14:textId="77777777" w:rsidR="00BF2700" w:rsidRDefault="00BF2700" w:rsidP="00BF2700">
      <w:pPr>
        <w:pStyle w:val="ListParagraph"/>
        <w:numPr>
          <w:ilvl w:val="0"/>
          <w:numId w:val="27"/>
        </w:numPr>
      </w:pPr>
      <w:r>
        <w:t>Critical workloads feature scan-intensive data access patterns (that is, those that can benefit from sequential data placement). In general, individual query requests involve reading tens of thousands to millions (or higher) of rows.</w:t>
      </w:r>
    </w:p>
    <w:p w14:paraId="2A0FF0A2" w14:textId="77777777" w:rsidR="00BF2700" w:rsidRDefault="00BF2700" w:rsidP="00BF2700">
      <w:pPr>
        <w:pStyle w:val="ListParagraph"/>
        <w:numPr>
          <w:ilvl w:val="0"/>
          <w:numId w:val="27"/>
        </w:numPr>
      </w:pPr>
      <w:r>
        <w:t>High data capacity, low concurrency relative to common OLTP workloads.</w:t>
      </w:r>
    </w:p>
    <w:p w14:paraId="408F392A" w14:textId="77777777" w:rsidR="00BF2700" w:rsidRDefault="00BF2700" w:rsidP="00BF2700">
      <w:pPr>
        <w:pStyle w:val="ListParagraph"/>
        <w:numPr>
          <w:ilvl w:val="0"/>
          <w:numId w:val="27"/>
        </w:numPr>
      </w:pPr>
      <w:r>
        <w:t>Low data volatility. Frequent update/delete DML activity should be limited to a small percentage of the overall data warehouse footprint.</w:t>
      </w:r>
    </w:p>
    <w:p w14:paraId="5190D095" w14:textId="77777777" w:rsidR="00BF2700" w:rsidRDefault="00BF2700" w:rsidP="00BF2700">
      <w:pPr>
        <w:rPr>
          <w:rStyle w:val="Strong"/>
        </w:rPr>
      </w:pPr>
      <w:r w:rsidRPr="006D763C">
        <w:rPr>
          <w:rStyle w:val="Strong"/>
        </w:rPr>
        <w:t>Database Management</w:t>
      </w:r>
    </w:p>
    <w:p w14:paraId="3B9EB32E" w14:textId="77777777" w:rsidR="00BF2700" w:rsidRPr="003E03ED" w:rsidRDefault="00BF2700" w:rsidP="00BF2700">
      <w:pPr>
        <w:rPr>
          <w:rStyle w:val="Strong"/>
          <w:b w:val="0"/>
        </w:rPr>
      </w:pPr>
      <w:r w:rsidRPr="003E03ED">
        <w:rPr>
          <w:rStyle w:val="Strong"/>
          <w:b w:val="0"/>
        </w:rPr>
        <w:t>This includes database administration, data architecture (data model and table structure), and data integration practices</w:t>
      </w:r>
      <w:r>
        <w:rPr>
          <w:rStyle w:val="Strong"/>
          <w:b w:val="0"/>
        </w:rPr>
        <w:t>:</w:t>
      </w:r>
    </w:p>
    <w:p w14:paraId="524CB763" w14:textId="77777777" w:rsidR="00BF2700" w:rsidRDefault="00BF2700" w:rsidP="00BF2700">
      <w:pPr>
        <w:pStyle w:val="ListParagraph"/>
        <w:numPr>
          <w:ilvl w:val="0"/>
          <w:numId w:val="28"/>
        </w:numPr>
        <w:rPr>
          <w:rStyle w:val="Strong"/>
          <w:b w:val="0"/>
        </w:rPr>
      </w:pPr>
      <w:r>
        <w:rPr>
          <w:rStyle w:val="Strong"/>
          <w:b w:val="0"/>
        </w:rPr>
        <w:t>Index-light, partitioned data architecture.</w:t>
      </w:r>
    </w:p>
    <w:p w14:paraId="64243C56" w14:textId="77777777" w:rsidR="00BF2700" w:rsidRDefault="00BF2700" w:rsidP="00BF2700">
      <w:pPr>
        <w:pStyle w:val="ListParagraph"/>
        <w:numPr>
          <w:ilvl w:val="0"/>
          <w:numId w:val="28"/>
        </w:numPr>
        <w:rPr>
          <w:rStyle w:val="Strong"/>
          <w:b w:val="0"/>
        </w:rPr>
      </w:pPr>
      <w:r>
        <w:rPr>
          <w:rStyle w:val="Strong"/>
          <w:b w:val="0"/>
        </w:rPr>
        <w:t>Careful management of database fragmentation, through suitable loading and ETL strategies and periodic maintenance.</w:t>
      </w:r>
    </w:p>
    <w:p w14:paraId="5D2B943E" w14:textId="77777777" w:rsidR="00BF2700" w:rsidRDefault="00BF2700" w:rsidP="00BF2700">
      <w:pPr>
        <w:pStyle w:val="ListParagraph"/>
        <w:numPr>
          <w:ilvl w:val="0"/>
          <w:numId w:val="28"/>
        </w:numPr>
        <w:rPr>
          <w:rStyle w:val="Strong"/>
          <w:b w:val="0"/>
        </w:rPr>
      </w:pPr>
      <w:r>
        <w:rPr>
          <w:rStyle w:val="Strong"/>
          <w:b w:val="0"/>
        </w:rPr>
        <w:t>Predictable data growth requirements. FTDW systems are prebuilt to fully balanced capacity. Storage expansion requires data migration.</w:t>
      </w:r>
    </w:p>
    <w:p w14:paraId="6BE30907" w14:textId="77777777" w:rsidR="00BF2700" w:rsidRDefault="00BF2700" w:rsidP="00BF2700">
      <w:pPr>
        <w:pStyle w:val="Heading3"/>
      </w:pPr>
      <w:r>
        <w:t>Step 2: Choose a Published FTDW Reference Configuration</w:t>
      </w:r>
    </w:p>
    <w:p w14:paraId="7FDE5111" w14:textId="77777777" w:rsidR="00BF2700" w:rsidRPr="008E20A3" w:rsidRDefault="00BF2700" w:rsidP="00BF2700">
      <w:pPr>
        <w:rPr>
          <w:rStyle w:val="Strong"/>
          <w:b w:val="0"/>
          <w:bCs w:val="0"/>
        </w:rPr>
      </w:pPr>
      <w:r>
        <w:t xml:space="preserve">A customer may have a server in mind when performing a simple evaluation based on budget or experience. Alternatively, the customer may already have a good idea of workload capacity or an existing system on which to base analysis of bandwidth requirements. In any case, a full platform evaluation is not performed in an FTDW simple evaluation. Instead, a conforming FTDW configuration is selected that matches the estimated customer requirements. </w:t>
      </w:r>
    </w:p>
    <w:p w14:paraId="0ED8FF60" w14:textId="77777777" w:rsidR="00BF2700" w:rsidRPr="00922D6A" w:rsidRDefault="00BF2700" w:rsidP="00BF2700">
      <w:pPr>
        <w:pStyle w:val="Heading2"/>
      </w:pPr>
      <w:bookmarkStart w:id="9" w:name="_Toc284834167"/>
      <w:r>
        <w:lastRenderedPageBreak/>
        <w:t>Option 2: Full Evaluation</w:t>
      </w:r>
      <w:bookmarkEnd w:id="9"/>
    </w:p>
    <w:p w14:paraId="35C9C5A4" w14:textId="77777777" w:rsidR="00BF2700" w:rsidRDefault="00BF2700" w:rsidP="00BF2700">
      <w:r>
        <w:t>Fast Track-conforming reference architectures provide hardware component configurations paired with defined customer workloads. The following methodology allows for a streamlined approach to choosing a database component architecture that ensures better out-of-the-box balance among use case requirements, performance, and scalability.</w:t>
      </w:r>
    </w:p>
    <w:p w14:paraId="18AFEE29" w14:textId="77777777" w:rsidR="00BF2700" w:rsidRPr="00BE6031" w:rsidRDefault="00BF2700" w:rsidP="00BF2700">
      <w:pPr>
        <w:pStyle w:val="Heading3"/>
      </w:pPr>
      <w:r>
        <w:t>Process Overview</w:t>
      </w:r>
    </w:p>
    <w:p w14:paraId="30505C9C" w14:textId="77777777" w:rsidR="00BF2700" w:rsidRDefault="00BF2700" w:rsidP="00BF2700">
      <w:r>
        <w:t>The following process flow summarizes the FTDW Full Evaluation selection process:</w:t>
      </w:r>
    </w:p>
    <w:p w14:paraId="15FD8B9D" w14:textId="77777777" w:rsidR="00BF2700" w:rsidRDefault="00BF2700" w:rsidP="00BF2700">
      <w:pPr>
        <w:pStyle w:val="ListParagraph"/>
        <w:numPr>
          <w:ilvl w:val="0"/>
          <w:numId w:val="14"/>
        </w:numPr>
      </w:pPr>
      <w:r>
        <w:t>Evaluate Fast Track workload attributes against the target usage scenario.</w:t>
      </w:r>
    </w:p>
    <w:p w14:paraId="3AE1CFB1" w14:textId="77777777" w:rsidR="00BF2700" w:rsidRDefault="00BF2700" w:rsidP="00BF2700">
      <w:pPr>
        <w:pStyle w:val="ListParagraph"/>
        <w:numPr>
          <w:ilvl w:val="0"/>
          <w:numId w:val="14"/>
        </w:numPr>
      </w:pPr>
      <w:r>
        <w:t>Identify server and/or bandwidth requirements for the customer use case. A published FTDW reference configuration must be chosen to begin an evaluation.</w:t>
      </w:r>
    </w:p>
    <w:p w14:paraId="03E981FC" w14:textId="77777777" w:rsidR="00BF2700" w:rsidRDefault="00BF2700" w:rsidP="00BF2700">
      <w:pPr>
        <w:pStyle w:val="ListParagraph"/>
        <w:numPr>
          <w:ilvl w:val="0"/>
          <w:numId w:val="14"/>
        </w:numPr>
      </w:pPr>
      <w:r>
        <w:t>Identify a query that is representative of customer workload requirement.</w:t>
      </w:r>
    </w:p>
    <w:p w14:paraId="302C5B5E" w14:textId="77777777" w:rsidR="00BF2700" w:rsidRDefault="00BF2700" w:rsidP="00BF2700">
      <w:pPr>
        <w:pStyle w:val="ListParagraph"/>
        <w:numPr>
          <w:ilvl w:val="0"/>
          <w:numId w:val="14"/>
        </w:numPr>
      </w:pPr>
      <w:r>
        <w:t>Calculate the Benchmark Consumption Rate (BCR) of SQL Server for the query.</w:t>
      </w:r>
    </w:p>
    <w:p w14:paraId="30B9EF2E" w14:textId="77777777" w:rsidR="00BF2700" w:rsidRDefault="00BF2700" w:rsidP="00BF2700">
      <w:pPr>
        <w:pStyle w:val="ListParagraph"/>
        <w:numPr>
          <w:ilvl w:val="0"/>
          <w:numId w:val="14"/>
        </w:numPr>
      </w:pPr>
      <w:r>
        <w:t>Calculate the Required User Data Capacity (UDC).</w:t>
      </w:r>
    </w:p>
    <w:p w14:paraId="68197CDE" w14:textId="77777777" w:rsidR="00BF2700" w:rsidRDefault="00BF2700" w:rsidP="00BF2700">
      <w:pPr>
        <w:pStyle w:val="ListParagraph"/>
        <w:numPr>
          <w:ilvl w:val="0"/>
          <w:numId w:val="14"/>
        </w:numPr>
      </w:pPr>
      <w:r>
        <w:t>Compare BCR and UDC ratings against published Maximum CPU Consumption Rate (MCR) and Capacity ratings for conforming Fast Track reference architectures.</w:t>
      </w:r>
    </w:p>
    <w:p w14:paraId="34D84397" w14:textId="77777777" w:rsidR="00BF2700" w:rsidRDefault="00BF2700" w:rsidP="00BF2700">
      <w:r>
        <w:t xml:space="preserve">The following describes individual points of the Full Evaluation process flow in detail. </w:t>
      </w:r>
    </w:p>
    <w:p w14:paraId="67A5C3C1" w14:textId="77777777" w:rsidR="00BF2700" w:rsidRDefault="00BF2700" w:rsidP="00BF2700">
      <w:pPr>
        <w:pStyle w:val="Heading3"/>
      </w:pPr>
      <w:r>
        <w:t>Step 1: Evaluate the Customer Use Case</w:t>
      </w:r>
    </w:p>
    <w:p w14:paraId="5D53C364" w14:textId="77777777" w:rsidR="00BF2700" w:rsidRPr="0085222E" w:rsidRDefault="00BF2700" w:rsidP="00BF2700">
      <w:pPr>
        <w:rPr>
          <w:b/>
        </w:rPr>
      </w:pPr>
      <w:r w:rsidRPr="0085222E">
        <w:rPr>
          <w:b/>
        </w:rPr>
        <w:t xml:space="preserve">Workload </w:t>
      </w:r>
      <w:r>
        <w:rPr>
          <w:b/>
        </w:rPr>
        <w:t>E</w:t>
      </w:r>
      <w:r w:rsidRPr="0085222E">
        <w:rPr>
          <w:b/>
        </w:rPr>
        <w:t>valuation</w:t>
      </w:r>
    </w:p>
    <w:p w14:paraId="717BABF7" w14:textId="77777777" w:rsidR="00BF2700" w:rsidRDefault="00BF2700" w:rsidP="00BF2700">
      <w:r>
        <w:t>This process is the same as for Option 1: Basic Evaluation.</w:t>
      </w:r>
    </w:p>
    <w:p w14:paraId="30811E5D" w14:textId="77777777" w:rsidR="00BF2700" w:rsidRDefault="00BF2700" w:rsidP="00BF2700">
      <w:r w:rsidRPr="00AC6596">
        <w:rPr>
          <w:b/>
        </w:rPr>
        <w:t>Select FTDW</w:t>
      </w:r>
      <w:r>
        <w:rPr>
          <w:b/>
        </w:rPr>
        <w:t xml:space="preserve"> Evaluation H</w:t>
      </w:r>
      <w:r w:rsidRPr="00AC6596">
        <w:rPr>
          <w:b/>
        </w:rPr>
        <w:t>ardware</w:t>
      </w:r>
    </w:p>
    <w:p w14:paraId="6476A488" w14:textId="77777777" w:rsidR="00BF2700" w:rsidRDefault="00BF2700" w:rsidP="00BF2700">
      <w:r>
        <w:t>Before you begin a full system evaluation, you must choose and deploy a published FTDW reference configuration for testing. You can choose among several methods to identify an appropriate reference configuration. The following approaches are common:</w:t>
      </w:r>
    </w:p>
    <w:p w14:paraId="3692F1F0" w14:textId="77777777" w:rsidR="00BF2700" w:rsidRDefault="00BF2700" w:rsidP="00BF2700">
      <w:pPr>
        <w:pStyle w:val="ListParagraph"/>
        <w:numPr>
          <w:ilvl w:val="0"/>
          <w:numId w:val="17"/>
        </w:numPr>
      </w:pPr>
      <w:r>
        <w:t>Budget. The customer chooses to buy the highest-capacity system and/or highest-performance system for the available budget.</w:t>
      </w:r>
    </w:p>
    <w:p w14:paraId="3E5859AE" w14:textId="77777777" w:rsidR="00BF2700" w:rsidRDefault="00BF2700" w:rsidP="00BF2700">
      <w:pPr>
        <w:pStyle w:val="ListParagraph"/>
        <w:numPr>
          <w:ilvl w:val="0"/>
          <w:numId w:val="17"/>
        </w:numPr>
      </w:pPr>
      <w:r>
        <w:t>Performance. The customer chooses to buy the highest-performing system available.</w:t>
      </w:r>
    </w:p>
    <w:p w14:paraId="5E754BB7" w14:textId="77777777" w:rsidR="00BF2700" w:rsidRDefault="00BF2700" w:rsidP="00BF2700">
      <w:pPr>
        <w:pStyle w:val="ListParagraph"/>
        <w:numPr>
          <w:ilvl w:val="0"/>
          <w:numId w:val="17"/>
        </w:numPr>
      </w:pPr>
      <w:r>
        <w:t>In-house analysis. The decision is based on workload analysis the customer has run on existing hardware.</w:t>
      </w:r>
    </w:p>
    <w:p w14:paraId="54E68DB6" w14:textId="77777777" w:rsidR="00BF2700" w:rsidRDefault="00BF2700" w:rsidP="00BF2700">
      <w:pPr>
        <w:pStyle w:val="ListParagraph"/>
        <w:numPr>
          <w:ilvl w:val="0"/>
          <w:numId w:val="17"/>
        </w:numPr>
      </w:pPr>
      <w:r>
        <w:t xml:space="preserve">Ad-hoc analysis. The </w:t>
      </w:r>
      <w:hyperlink r:id="rId14" w:history="1">
        <w:r>
          <w:rPr>
            <w:rStyle w:val="Hyperlink"/>
          </w:rPr>
          <w:t>FTDW Sizing Tool</w:t>
        </w:r>
      </w:hyperlink>
      <w:r>
        <w:t xml:space="preserve"> provides a basic approach to calculating FTDW system requirements based on basic assumptions about the targeted database workload.</w:t>
      </w:r>
    </w:p>
    <w:p w14:paraId="2BD75DFA" w14:textId="77777777" w:rsidR="00BF2700" w:rsidRDefault="00BF2700" w:rsidP="00BF2700">
      <w:pPr>
        <w:pStyle w:val="Heading3"/>
      </w:pPr>
      <w:r>
        <w:t>Step 2: Establish Evaluation Metrics</w:t>
      </w:r>
    </w:p>
    <w:p w14:paraId="003D1804" w14:textId="77777777" w:rsidR="00BF2700" w:rsidRDefault="00BF2700" w:rsidP="00BF2700">
      <w:r>
        <w:t xml:space="preserve">The following three metrics are important to a full FTDW evaluation, and they comprise the key decision criteria for hardware evaluation. For more information about calculating these metrics, see the </w:t>
      </w:r>
      <w:hyperlink w:anchor="_Performing_Fast_Track" w:history="1">
        <w:r w:rsidRPr="0048286F">
          <w:rPr>
            <w:rStyle w:val="Hyperlink"/>
          </w:rPr>
          <w:t>Fast Track Database Validation</w:t>
        </w:r>
      </w:hyperlink>
      <w:r>
        <w:t xml:space="preserve"> section of this document.</w:t>
      </w:r>
    </w:p>
    <w:p w14:paraId="42CEFCE9" w14:textId="77777777" w:rsidR="00BF2700" w:rsidRDefault="00BF2700" w:rsidP="00BF2700">
      <w:pPr>
        <w:pStyle w:val="ListParagraph"/>
        <w:numPr>
          <w:ilvl w:val="0"/>
          <w:numId w:val="16"/>
        </w:numPr>
      </w:pPr>
      <w:r>
        <w:t>Maximum CPU Core Consumption Rate (MCR)</w:t>
      </w:r>
    </w:p>
    <w:p w14:paraId="19C95DFA" w14:textId="77777777" w:rsidR="00BF2700" w:rsidRDefault="00BF2700" w:rsidP="00BF2700">
      <w:pPr>
        <w:pStyle w:val="ListParagraph"/>
        <w:numPr>
          <w:ilvl w:val="0"/>
          <w:numId w:val="16"/>
        </w:numPr>
      </w:pPr>
      <w:r>
        <w:t>Benchmark Consumption Rate (BCR)</w:t>
      </w:r>
    </w:p>
    <w:p w14:paraId="5D26EDD3" w14:textId="77777777" w:rsidR="00BF2700" w:rsidRDefault="00BF2700" w:rsidP="00BF2700">
      <w:pPr>
        <w:pStyle w:val="ListParagraph"/>
        <w:numPr>
          <w:ilvl w:val="0"/>
          <w:numId w:val="16"/>
        </w:numPr>
      </w:pPr>
      <w:r>
        <w:lastRenderedPageBreak/>
        <w:t>Required User Data Capacity (UDC)</w:t>
      </w:r>
    </w:p>
    <w:p w14:paraId="397EA5B9" w14:textId="77777777" w:rsidR="00BF2700" w:rsidRDefault="00BF2700" w:rsidP="00BF2700">
      <w:r w:rsidRPr="00AC6596">
        <w:rPr>
          <w:b/>
        </w:rPr>
        <w:t>MCR</w:t>
      </w:r>
    </w:p>
    <w:p w14:paraId="4AA87D87" w14:textId="77777777" w:rsidR="00BF2700" w:rsidRPr="00D223BB" w:rsidRDefault="00BF2700" w:rsidP="00BF2700">
      <w:r>
        <w:t>This metric measures the maximum SQL Server data processing rate for a standardized query against a standardized data set for a specific server and CPU combination. This is provided as a per-core rate and is measured as a simple query-based scan from memory cache. MCR is the initial starting point for Fast Track system design and represents the maximum required I/O bandwidth for the server, CPU, and workload.</w:t>
      </w:r>
    </w:p>
    <w:p w14:paraId="3CE47D48" w14:textId="77777777" w:rsidR="00BF2700" w:rsidRDefault="00BF2700" w:rsidP="00BF2700">
      <w:r w:rsidRPr="00AC6596">
        <w:rPr>
          <w:b/>
        </w:rPr>
        <w:t>BCR</w:t>
      </w:r>
    </w:p>
    <w:p w14:paraId="24A719CF" w14:textId="77777777" w:rsidR="00BF2700" w:rsidRDefault="00BF2700" w:rsidP="00BF2700">
      <w:r>
        <w:t>BCR is measured by a query or set of queries that are considered definitive of the Fast Track DW workload. BCR is calculated in terms of total read bandwidth from disk, rather than from cache as with the MCR calculation. The relative comparison of MCR to BCR values provides a common reference point when evaluating different reference architectures for unique customer use cases. The determination of BCR can enable tailoring of the infrastructure for a given customer use case.</w:t>
      </w:r>
    </w:p>
    <w:p w14:paraId="3995EE32" w14:textId="77777777" w:rsidR="00BF2700" w:rsidRDefault="00BF2700" w:rsidP="00BF2700">
      <w:r w:rsidRPr="00AC6596">
        <w:rPr>
          <w:b/>
        </w:rPr>
        <w:t>UDC</w:t>
      </w:r>
    </w:p>
    <w:p w14:paraId="47DFBF64" w14:textId="77777777" w:rsidR="00BF2700" w:rsidRDefault="00BF2700" w:rsidP="00BF2700">
      <w:r>
        <w:t>This is simply the customer-required user data capacity for the SQL Server database. It is important to take growth rates into account when determining UDC. Note that any storage expansion beyond initial deployment potentially requires data migration that would effectively stripe existing data across the new database file locations.</w:t>
      </w:r>
    </w:p>
    <w:p w14:paraId="6DBE4740" w14:textId="77777777" w:rsidR="00BF2700" w:rsidRDefault="00BF2700" w:rsidP="00BF2700">
      <w:pPr>
        <w:pStyle w:val="Heading3"/>
      </w:pPr>
      <w:r>
        <w:t>Step 3: Choose a Fast Track Data Warehouse Reference Configuration</w:t>
      </w:r>
    </w:p>
    <w:p w14:paraId="37C05FFB" w14:textId="77777777" w:rsidR="00BF2700" w:rsidRDefault="00BF2700" w:rsidP="00BF2700">
      <w:r>
        <w:t>After it is calculated, BCR can be compared against published MCR and capacity ratings provided by Fast Track vendors for each published FTDW reference configuration. BCR can be seen as a common reference point for evaluating results from the test/evaluation system against published configurations. This allows the customer to choose the Fast Track option that best aligns with the test results.</w:t>
      </w:r>
    </w:p>
    <w:p w14:paraId="6A2EF23A" w14:textId="77777777" w:rsidR="00BF2700" w:rsidRDefault="00BF2700" w:rsidP="00BF2700">
      <w:pPr>
        <w:pStyle w:val="Heading2"/>
      </w:pPr>
      <w:bookmarkStart w:id="10" w:name="_Toc284834168"/>
      <w:r>
        <w:t>Option 3: User-Defined Reference Architectures</w:t>
      </w:r>
      <w:bookmarkEnd w:id="10"/>
    </w:p>
    <w:p w14:paraId="260F974E" w14:textId="77777777" w:rsidR="00BF2700" w:rsidRDefault="00BF2700" w:rsidP="00BF2700">
      <w:r>
        <w:t>This approach leverages the FTDW methodology to tailor a system for a specific workload or set of hardware. This approach requires a thorough understanding of both SQL Server and the hardware components that it runs on. The following steps outline the general approach for developing a user-defined reference architecture that conforms to FTDW principles.</w:t>
      </w:r>
    </w:p>
    <w:p w14:paraId="3F2C44F5" w14:textId="77777777" w:rsidR="00BF2700" w:rsidRDefault="00BF2700" w:rsidP="00BF2700">
      <w:pPr>
        <w:pStyle w:val="Heading3"/>
      </w:pPr>
      <w:r>
        <w:t>Step 1: Define Workload</w:t>
      </w:r>
    </w:p>
    <w:p w14:paraId="205E38A2" w14:textId="77777777" w:rsidR="00BF2700" w:rsidRPr="00C06CF5" w:rsidRDefault="00BF2700" w:rsidP="00BF2700">
      <w:r>
        <w:t>Understanding the target database use case is central to FTDW configurations, and this applies equally to any custom application of the guidance provided within this document. Guidance for Fast Track RAs, specifically on the topic of workloads, can be used as a reference model for incorporating workload evaluation into component architecture design.</w:t>
      </w:r>
    </w:p>
    <w:p w14:paraId="59AF5938" w14:textId="77777777" w:rsidR="00BF2700" w:rsidRDefault="00BF2700" w:rsidP="00BF2700">
      <w:pPr>
        <w:pStyle w:val="Heading3"/>
      </w:pPr>
      <w:r>
        <w:lastRenderedPageBreak/>
        <w:t>Step 2: Establish Component Architecture Benchmarks</w:t>
      </w:r>
    </w:p>
    <w:p w14:paraId="36FEA64A" w14:textId="77777777" w:rsidR="00BF2700" w:rsidRDefault="00BF2700" w:rsidP="00BF2700">
      <w:r>
        <w:t xml:space="preserve">The following framework provides an outlined approach to developing a reference architecture for a predefined workload. For more information about this process, see the </w:t>
      </w:r>
      <w:r>
        <w:rPr>
          <w:color w:val="4F81BD" w:themeColor="accent1"/>
        </w:rPr>
        <w:fldChar w:fldCharType="begin"/>
      </w:r>
      <w:r>
        <w:instrText xml:space="preserve"> REF _Ref243132533 \h </w:instrText>
      </w:r>
      <w:r>
        <w:rPr>
          <w:color w:val="4F81BD" w:themeColor="accent1"/>
        </w:rPr>
      </w:r>
      <w:r>
        <w:rPr>
          <w:color w:val="4F81BD" w:themeColor="accent1"/>
        </w:rPr>
        <w:fldChar w:fldCharType="separate"/>
      </w:r>
      <w:r>
        <w:t>Benchmarking and Validation</w:t>
      </w:r>
      <w:r>
        <w:rPr>
          <w:color w:val="4F81BD" w:themeColor="accent1"/>
        </w:rPr>
        <w:fldChar w:fldCharType="end"/>
      </w:r>
      <w:r>
        <w:rPr>
          <w:color w:val="4F81BD" w:themeColor="accent1"/>
        </w:rPr>
        <w:t xml:space="preserve"> </w:t>
      </w:r>
      <w:r>
        <w:t>section of this document.</w:t>
      </w:r>
    </w:p>
    <w:p w14:paraId="623E42C4" w14:textId="77777777" w:rsidR="00BF2700" w:rsidRDefault="00BF2700" w:rsidP="00BF2700">
      <w:pPr>
        <w:pStyle w:val="ListParagraph"/>
        <w:numPr>
          <w:ilvl w:val="0"/>
          <w:numId w:val="11"/>
        </w:numPr>
      </w:pPr>
      <w:r>
        <w:t>Establish the Maximum CPU Core Consumption Rate (MCR) for the chosen server and CPU.</w:t>
      </w:r>
    </w:p>
    <w:p w14:paraId="099449E6" w14:textId="77777777" w:rsidR="00BF2700" w:rsidRDefault="00BF2700" w:rsidP="00BF2700">
      <w:pPr>
        <w:pStyle w:val="ListParagraph"/>
        <w:numPr>
          <w:ilvl w:val="1"/>
          <w:numId w:val="11"/>
        </w:numPr>
      </w:pPr>
      <w:r>
        <w:t xml:space="preserve">Use the method outlined in the </w:t>
      </w:r>
      <w:r>
        <w:fldChar w:fldCharType="begin"/>
      </w:r>
      <w:r>
        <w:instrText xml:space="preserve"> REF _Ref243132795 \h </w:instrText>
      </w:r>
      <w:r>
        <w:fldChar w:fldCharType="separate"/>
      </w:r>
      <w:r>
        <w:t>Benchmarking and Validation</w:t>
      </w:r>
      <w:r>
        <w:fldChar w:fldCharType="end"/>
      </w:r>
      <w:r>
        <w:t xml:space="preserve"> section to calculate the standardized MCR.</w:t>
      </w:r>
    </w:p>
    <w:p w14:paraId="18E3B73A" w14:textId="77777777" w:rsidR="00BF2700" w:rsidRDefault="00BF2700" w:rsidP="00BF2700">
      <w:pPr>
        <w:pStyle w:val="ListParagraph"/>
        <w:numPr>
          <w:ilvl w:val="1"/>
          <w:numId w:val="11"/>
        </w:numPr>
      </w:pPr>
      <w:r>
        <w:t>You can also use published MCR ratings for FTDW configurations. In general, CPUs of the same family have similar CPU core consumption rates for the SQL Server database.</w:t>
      </w:r>
    </w:p>
    <w:p w14:paraId="72F8E829" w14:textId="77777777" w:rsidR="00BF2700" w:rsidRDefault="00BF2700" w:rsidP="00BF2700">
      <w:pPr>
        <w:pStyle w:val="ListParagraph"/>
        <w:numPr>
          <w:ilvl w:val="0"/>
          <w:numId w:val="11"/>
        </w:numPr>
      </w:pPr>
      <w:r>
        <w:t>Use the MCR value to estimate storage and storage network requirements and create an initial system design.</w:t>
      </w:r>
    </w:p>
    <w:p w14:paraId="51EF60A8" w14:textId="77777777" w:rsidR="00BF2700" w:rsidRDefault="00BF2700" w:rsidP="00BF2700">
      <w:pPr>
        <w:pStyle w:val="ListParagraph"/>
        <w:numPr>
          <w:ilvl w:val="0"/>
          <w:numId w:val="11"/>
        </w:numPr>
      </w:pPr>
      <w:r>
        <w:t>Procure a test system based on the initial system design. Ideally this will be the full configuration specified.</w:t>
      </w:r>
    </w:p>
    <w:p w14:paraId="675BFF4B" w14:textId="77777777" w:rsidR="00BF2700" w:rsidRDefault="00BF2700" w:rsidP="00BF2700">
      <w:pPr>
        <w:pStyle w:val="ListParagraph"/>
        <w:numPr>
          <w:ilvl w:val="0"/>
          <w:numId w:val="11"/>
        </w:numPr>
      </w:pPr>
      <w:r>
        <w:t>Establish a Benchmark Consumption Rate (BCR).</w:t>
      </w:r>
    </w:p>
    <w:p w14:paraId="4F5DE086" w14:textId="77777777" w:rsidR="00BF2700" w:rsidRDefault="00BF2700" w:rsidP="00BF2700">
      <w:pPr>
        <w:pStyle w:val="ListParagraph"/>
        <w:numPr>
          <w:ilvl w:val="1"/>
          <w:numId w:val="11"/>
        </w:numPr>
      </w:pPr>
      <w:r>
        <w:t>Based on workload evaluation, identify a query or in the ideal case a set of representative queries.</w:t>
      </w:r>
    </w:p>
    <w:p w14:paraId="5F7B4D51" w14:textId="77777777" w:rsidR="00BF2700" w:rsidRDefault="00BF2700" w:rsidP="00BF2700">
      <w:pPr>
        <w:pStyle w:val="ListParagraph"/>
        <w:numPr>
          <w:ilvl w:val="1"/>
          <w:numId w:val="11"/>
        </w:numPr>
      </w:pPr>
      <w:r>
        <w:t>Follow the practices described in this reference guide to establish baseline I/O characteristics and BCR rating.</w:t>
      </w:r>
    </w:p>
    <w:p w14:paraId="1852180F" w14:textId="77777777" w:rsidR="00BF2700" w:rsidRDefault="00BF2700" w:rsidP="00BF2700">
      <w:pPr>
        <w:pStyle w:val="ListParagraph"/>
        <w:numPr>
          <w:ilvl w:val="0"/>
          <w:numId w:val="11"/>
        </w:numPr>
      </w:pPr>
      <w:r>
        <w:t>Adjust the system design based on results.</w:t>
      </w:r>
    </w:p>
    <w:p w14:paraId="2071C60D" w14:textId="77777777" w:rsidR="00BF2700" w:rsidRDefault="00BF2700" w:rsidP="00BF2700">
      <w:pPr>
        <w:pStyle w:val="ListParagraph"/>
        <w:numPr>
          <w:ilvl w:val="0"/>
          <w:numId w:val="11"/>
        </w:numPr>
      </w:pPr>
      <w:r>
        <w:t>Establish the final server and storage configuration.</w:t>
      </w:r>
    </w:p>
    <w:p w14:paraId="47C7A8F4" w14:textId="77777777" w:rsidR="00BF2700" w:rsidRDefault="00BF2700" w:rsidP="00BF2700">
      <w:pPr>
        <w:pStyle w:val="Heading3"/>
      </w:pPr>
      <w:r>
        <w:t>Step 3: System Validation</w:t>
      </w:r>
    </w:p>
    <w:p w14:paraId="51A97660" w14:textId="77777777" w:rsidR="00BF2700" w:rsidRPr="003A36A4" w:rsidRDefault="00BF2700" w:rsidP="00BF2700">
      <w:r>
        <w:t xml:space="preserve">The goal of system benchmarking should be configuration and throughput validation of the hardware component configuration identified in Step 2. For more information about this process, see the </w:t>
      </w:r>
      <w:r>
        <w:rPr>
          <w:color w:val="4F81BD" w:themeColor="accent1"/>
        </w:rPr>
        <w:fldChar w:fldCharType="begin"/>
      </w:r>
      <w:r>
        <w:instrText xml:space="preserve"> REF _Ref243132554 \h </w:instrText>
      </w:r>
      <w:r>
        <w:rPr>
          <w:color w:val="4F81BD" w:themeColor="accent1"/>
        </w:rPr>
      </w:r>
      <w:r>
        <w:rPr>
          <w:color w:val="4F81BD" w:themeColor="accent1"/>
        </w:rPr>
        <w:fldChar w:fldCharType="separate"/>
      </w:r>
      <w:r>
        <w:t>Benchmarking and Validation</w:t>
      </w:r>
      <w:r>
        <w:rPr>
          <w:color w:val="4F81BD" w:themeColor="accent1"/>
        </w:rPr>
        <w:fldChar w:fldCharType="end"/>
      </w:r>
      <w:r>
        <w:rPr>
          <w:color w:val="4F81BD" w:themeColor="accent1"/>
        </w:rPr>
        <w:t xml:space="preserve"> </w:t>
      </w:r>
      <w:r>
        <w:t>section of this document.</w:t>
      </w:r>
    </w:p>
    <w:p w14:paraId="6D2F23A1" w14:textId="77777777" w:rsidR="00BF2700" w:rsidRDefault="00BF2700" w:rsidP="00BF2700">
      <w:pPr>
        <w:pStyle w:val="ListParagraph"/>
        <w:numPr>
          <w:ilvl w:val="0"/>
          <w:numId w:val="12"/>
        </w:numPr>
      </w:pPr>
      <w:r>
        <w:t>Evaluate component throughput against the established performance requirements. This ensures that real system throughput matches expectations.</w:t>
      </w:r>
    </w:p>
    <w:p w14:paraId="4476C0C3" w14:textId="77777777" w:rsidR="00BF2700" w:rsidRDefault="00BF2700" w:rsidP="00BF2700">
      <w:pPr>
        <w:pStyle w:val="ListParagraph"/>
        <w:numPr>
          <w:ilvl w:val="0"/>
          <w:numId w:val="12"/>
        </w:numPr>
      </w:pPr>
      <w:r>
        <w:t>Validate system throughput by rebuilding to final configuration and executing final benchmarks. As a general rule, final BCR should achieve 80 percent or better of the system MCR.</w:t>
      </w:r>
    </w:p>
    <w:p w14:paraId="1ACDDAA0" w14:textId="77777777" w:rsidR="00BF2700" w:rsidRDefault="00BF2700" w:rsidP="00BF2700">
      <w:pPr>
        <w:pStyle w:val="Heading1"/>
      </w:pPr>
      <w:bookmarkStart w:id="11" w:name="_Toc284834169"/>
      <w:r>
        <w:t>FTDW Standard Configuration</w:t>
      </w:r>
      <w:bookmarkEnd w:id="11"/>
    </w:p>
    <w:p w14:paraId="6648E12C" w14:textId="77777777" w:rsidR="00BF2700" w:rsidRDefault="00BF2700" w:rsidP="00BF2700">
      <w:pPr>
        <w:pStyle w:val="Heading2"/>
      </w:pPr>
      <w:bookmarkStart w:id="12" w:name="_Toc284834170"/>
      <w:r>
        <w:t>Hardware Component Architecture</w:t>
      </w:r>
      <w:bookmarkEnd w:id="12"/>
    </w:p>
    <w:p w14:paraId="14F345E7" w14:textId="77777777" w:rsidR="00BF2700" w:rsidRDefault="00BF2700" w:rsidP="00BF2700">
      <w:r>
        <w:t xml:space="preserve">Current Fast Track Data Warehousing reference architectures are based on dedicated storage configurations (SAN or SAS at time of publication). Disk I/O throughput is achieved through the use of independent, dedicated storage enclosures and processors. Additional details and configurations are published by each Fast Track vendor. Figure 2 illustrates the component-level building blocks that comprise a Fast Track Data Warehousing reference architecture based on SAN storage. </w:t>
      </w:r>
    </w:p>
    <w:p w14:paraId="53CD7E7E" w14:textId="77777777" w:rsidR="00BF2700" w:rsidRDefault="00BF2700" w:rsidP="00BF2700">
      <w:r>
        <w:rPr>
          <w:noProof/>
        </w:rPr>
        <w:lastRenderedPageBreak/>
        <w:drawing>
          <wp:inline distT="0" distB="0" distL="0" distR="0" wp14:anchorId="02513631" wp14:editId="00989D24">
            <wp:extent cx="5304155" cy="3792220"/>
            <wp:effectExtent l="0" t="0" r="0" b="0"/>
            <wp:docPr id="3"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4155" cy="3792220"/>
                    </a:xfrm>
                    <a:prstGeom prst="rect">
                      <a:avLst/>
                    </a:prstGeom>
                    <a:noFill/>
                  </pic:spPr>
                </pic:pic>
              </a:graphicData>
            </a:graphic>
          </wp:inline>
        </w:drawing>
      </w:r>
    </w:p>
    <w:p w14:paraId="0D7A7DDF" w14:textId="77777777" w:rsidR="00BF2700" w:rsidRPr="00044A82" w:rsidRDefault="00BF2700" w:rsidP="00BF2700">
      <w:r>
        <w:rPr>
          <w:b/>
        </w:rPr>
        <w:t xml:space="preserve">Figure 2: </w:t>
      </w:r>
      <w:r w:rsidRPr="00044A82">
        <w:t xml:space="preserve">Example storage configuration for a 2-socket, </w:t>
      </w:r>
      <w:r>
        <w:t>12</w:t>
      </w:r>
      <w:r w:rsidRPr="00044A82">
        <w:t>-core server</w:t>
      </w:r>
    </w:p>
    <w:p w14:paraId="2F3B7C2D" w14:textId="77777777" w:rsidR="00BF2700" w:rsidRDefault="00BF2700" w:rsidP="00BF2700">
      <w:pPr>
        <w:pStyle w:val="Heading3"/>
      </w:pPr>
      <w:r>
        <w:t>Component Requirements and Configuration</w:t>
      </w:r>
    </w:p>
    <w:p w14:paraId="18178B9D" w14:textId="77777777" w:rsidR="00BF2700" w:rsidRDefault="00BF2700" w:rsidP="00BF2700">
      <w:pPr>
        <w:pStyle w:val="Heading4"/>
      </w:pPr>
      <w:r>
        <w:t>Server</w:t>
      </w:r>
    </w:p>
    <w:p w14:paraId="5A53C187" w14:textId="77777777" w:rsidR="00BF2700" w:rsidRDefault="00BF2700" w:rsidP="00BF2700">
      <w:r w:rsidRPr="000921D5">
        <w:rPr>
          <w:b/>
          <w:i/>
        </w:rPr>
        <w:t>Memory:</w:t>
      </w:r>
      <w:r>
        <w:t xml:space="preserve"> Memory allocations for Fast Track RAs are based on lab benchmark results with the goal of balancing maximum logical throughput (total pages read from disk and buffer over time) with CPU utilization. Recommended memory allocation for FT 3.0 architectures are provided in the following schedule. The maximum memory values provided are not hard limits, but represent the maximum configurations tested.</w:t>
      </w:r>
    </w:p>
    <w:tbl>
      <w:tblPr>
        <w:tblStyle w:val="LightGrid-Accent1"/>
        <w:tblW w:w="0" w:type="auto"/>
        <w:tblLook w:val="04A0" w:firstRow="1" w:lastRow="0" w:firstColumn="1" w:lastColumn="0" w:noHBand="0" w:noVBand="1"/>
      </w:tblPr>
      <w:tblGrid>
        <w:gridCol w:w="3192"/>
        <w:gridCol w:w="3192"/>
        <w:gridCol w:w="3192"/>
      </w:tblGrid>
      <w:tr w:rsidR="00BF2700" w14:paraId="0D6C7C22" w14:textId="77777777" w:rsidTr="00292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A343A6C" w14:textId="77777777" w:rsidR="00BF2700" w:rsidRDefault="00BF2700" w:rsidP="002927C9">
            <w:pPr>
              <w:jc w:val="center"/>
            </w:pPr>
            <w:r>
              <w:t>Server Size</w:t>
            </w:r>
          </w:p>
        </w:tc>
        <w:tc>
          <w:tcPr>
            <w:tcW w:w="3192" w:type="dxa"/>
          </w:tcPr>
          <w:p w14:paraId="20B22E08" w14:textId="77777777" w:rsidR="00BF2700" w:rsidRDefault="00BF2700" w:rsidP="002927C9">
            <w:pPr>
              <w:jc w:val="center"/>
              <w:cnfStyle w:val="100000000000" w:firstRow="1" w:lastRow="0" w:firstColumn="0" w:lastColumn="0" w:oddVBand="0" w:evenVBand="0" w:oddHBand="0" w:evenHBand="0" w:firstRowFirstColumn="0" w:firstRowLastColumn="0" w:lastRowFirstColumn="0" w:lastRowLastColumn="0"/>
            </w:pPr>
            <w:r>
              <w:t>Minimum Memory</w:t>
            </w:r>
          </w:p>
        </w:tc>
        <w:tc>
          <w:tcPr>
            <w:tcW w:w="3192" w:type="dxa"/>
          </w:tcPr>
          <w:p w14:paraId="6E9CB8DA" w14:textId="77777777" w:rsidR="00BF2700" w:rsidRDefault="00BF2700" w:rsidP="002927C9">
            <w:pPr>
              <w:jc w:val="center"/>
              <w:cnfStyle w:val="100000000000" w:firstRow="1" w:lastRow="0" w:firstColumn="0" w:lastColumn="0" w:oddVBand="0" w:evenVBand="0" w:oddHBand="0" w:evenHBand="0" w:firstRowFirstColumn="0" w:firstRowLastColumn="0" w:lastRowFirstColumn="0" w:lastRowLastColumn="0"/>
            </w:pPr>
            <w:r>
              <w:t>Maximum Memory</w:t>
            </w:r>
          </w:p>
        </w:tc>
      </w:tr>
      <w:tr w:rsidR="00BF2700" w14:paraId="7230A495"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5E2DE6D" w14:textId="77777777" w:rsidR="00BF2700" w:rsidRPr="001B4683" w:rsidRDefault="00BF2700" w:rsidP="002927C9">
            <w:pPr>
              <w:jc w:val="center"/>
              <w:rPr>
                <w:sz w:val="20"/>
                <w:szCs w:val="20"/>
              </w:rPr>
            </w:pPr>
            <w:r w:rsidRPr="001B4683">
              <w:rPr>
                <w:sz w:val="20"/>
                <w:szCs w:val="20"/>
              </w:rPr>
              <w:t>2 Socket</w:t>
            </w:r>
          </w:p>
        </w:tc>
        <w:tc>
          <w:tcPr>
            <w:tcW w:w="3192" w:type="dxa"/>
          </w:tcPr>
          <w:p w14:paraId="3B7BA64F" w14:textId="77777777" w:rsidR="00BF2700" w:rsidRPr="001B4683" w:rsidRDefault="00BF2700" w:rsidP="002927C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B4683">
              <w:rPr>
                <w:sz w:val="20"/>
                <w:szCs w:val="20"/>
              </w:rPr>
              <w:t>96 GB</w:t>
            </w:r>
          </w:p>
        </w:tc>
        <w:tc>
          <w:tcPr>
            <w:tcW w:w="3192" w:type="dxa"/>
          </w:tcPr>
          <w:p w14:paraId="11A7ECB5" w14:textId="77777777" w:rsidR="00BF2700" w:rsidRPr="001B4683" w:rsidRDefault="00BF2700" w:rsidP="002927C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B4683">
              <w:rPr>
                <w:sz w:val="20"/>
                <w:szCs w:val="20"/>
              </w:rPr>
              <w:t>256 GB</w:t>
            </w:r>
          </w:p>
        </w:tc>
      </w:tr>
      <w:tr w:rsidR="00BF2700" w14:paraId="3FD028EC" w14:textId="77777777" w:rsidTr="00292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F26D73F" w14:textId="77777777" w:rsidR="00BF2700" w:rsidRPr="001B4683" w:rsidRDefault="00BF2700" w:rsidP="002927C9">
            <w:pPr>
              <w:jc w:val="center"/>
              <w:rPr>
                <w:sz w:val="20"/>
                <w:szCs w:val="20"/>
              </w:rPr>
            </w:pPr>
            <w:r w:rsidRPr="001B4683">
              <w:rPr>
                <w:sz w:val="20"/>
                <w:szCs w:val="20"/>
              </w:rPr>
              <w:t>4 Socket</w:t>
            </w:r>
          </w:p>
        </w:tc>
        <w:tc>
          <w:tcPr>
            <w:tcW w:w="3192" w:type="dxa"/>
          </w:tcPr>
          <w:p w14:paraId="201C741D" w14:textId="77777777" w:rsidR="00BF2700" w:rsidRPr="001B4683" w:rsidRDefault="00BF2700" w:rsidP="002927C9">
            <w:pPr>
              <w:jc w:val="center"/>
              <w:cnfStyle w:val="000000010000" w:firstRow="0" w:lastRow="0" w:firstColumn="0" w:lastColumn="0" w:oddVBand="0" w:evenVBand="0" w:oddHBand="0" w:evenHBand="1" w:firstRowFirstColumn="0" w:firstRowLastColumn="0" w:lastRowFirstColumn="0" w:lastRowLastColumn="0"/>
              <w:rPr>
                <w:sz w:val="20"/>
                <w:szCs w:val="20"/>
              </w:rPr>
            </w:pPr>
            <w:r w:rsidRPr="001B4683">
              <w:rPr>
                <w:sz w:val="20"/>
                <w:szCs w:val="20"/>
              </w:rPr>
              <w:t>128 GB</w:t>
            </w:r>
          </w:p>
        </w:tc>
        <w:tc>
          <w:tcPr>
            <w:tcW w:w="3192" w:type="dxa"/>
          </w:tcPr>
          <w:p w14:paraId="7E9F4968" w14:textId="77777777" w:rsidR="00BF2700" w:rsidRPr="001B4683" w:rsidRDefault="00BF2700" w:rsidP="002927C9">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512</w:t>
            </w:r>
            <w:r w:rsidRPr="001B4683">
              <w:rPr>
                <w:sz w:val="20"/>
                <w:szCs w:val="20"/>
              </w:rPr>
              <w:t xml:space="preserve"> GB</w:t>
            </w:r>
          </w:p>
        </w:tc>
      </w:tr>
      <w:tr w:rsidR="00BF2700" w14:paraId="45BE8545" w14:textId="77777777" w:rsidTr="0029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FBEAF3E" w14:textId="77777777" w:rsidR="00BF2700" w:rsidRPr="001B4683" w:rsidRDefault="00BF2700" w:rsidP="002927C9">
            <w:pPr>
              <w:jc w:val="center"/>
              <w:rPr>
                <w:sz w:val="20"/>
                <w:szCs w:val="20"/>
              </w:rPr>
            </w:pPr>
            <w:r w:rsidRPr="001B4683">
              <w:rPr>
                <w:sz w:val="20"/>
                <w:szCs w:val="20"/>
              </w:rPr>
              <w:t>8 Socket</w:t>
            </w:r>
          </w:p>
        </w:tc>
        <w:tc>
          <w:tcPr>
            <w:tcW w:w="3192" w:type="dxa"/>
          </w:tcPr>
          <w:p w14:paraId="41559844" w14:textId="77777777" w:rsidR="00BF2700" w:rsidRPr="001B4683" w:rsidRDefault="00BF2700" w:rsidP="002927C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B4683">
              <w:rPr>
                <w:sz w:val="20"/>
                <w:szCs w:val="20"/>
              </w:rPr>
              <w:t>256</w:t>
            </w:r>
            <w:r>
              <w:rPr>
                <w:sz w:val="20"/>
                <w:szCs w:val="20"/>
              </w:rPr>
              <w:t xml:space="preserve"> </w:t>
            </w:r>
            <w:r w:rsidRPr="001B4683">
              <w:rPr>
                <w:sz w:val="20"/>
                <w:szCs w:val="20"/>
              </w:rPr>
              <w:t>GB</w:t>
            </w:r>
          </w:p>
        </w:tc>
        <w:tc>
          <w:tcPr>
            <w:tcW w:w="3192" w:type="dxa"/>
          </w:tcPr>
          <w:p w14:paraId="0BBF5221" w14:textId="77777777" w:rsidR="00BF2700" w:rsidRPr="001B4683" w:rsidRDefault="00BF2700" w:rsidP="002927C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B4683">
              <w:rPr>
                <w:sz w:val="20"/>
                <w:szCs w:val="20"/>
              </w:rPr>
              <w:t>512 GB</w:t>
            </w:r>
          </w:p>
        </w:tc>
      </w:tr>
    </w:tbl>
    <w:p w14:paraId="390B7445" w14:textId="77777777" w:rsidR="00BF2700" w:rsidRDefault="00BF2700" w:rsidP="00BF2700"/>
    <w:p w14:paraId="07784A7F" w14:textId="77777777" w:rsidR="00BF2700" w:rsidRDefault="00BF2700" w:rsidP="00BF2700">
      <w:r>
        <w:t>The following considerations are also important when evaluating system memory requirements:</w:t>
      </w:r>
    </w:p>
    <w:p w14:paraId="2CCE8BEE" w14:textId="77777777" w:rsidR="00BF2700" w:rsidRDefault="00BF2700" w:rsidP="00BF2700">
      <w:pPr>
        <w:pStyle w:val="ListParagraph"/>
        <w:numPr>
          <w:ilvl w:val="0"/>
          <w:numId w:val="19"/>
        </w:numPr>
      </w:pPr>
      <w:r w:rsidRPr="009729AD">
        <w:rPr>
          <w:b/>
        </w:rPr>
        <w:t>Query from cache</w:t>
      </w:r>
      <w:r>
        <w:t>: Workloads that service a large percentage of queries from cache may see an overall benefit from increased RAM allocations as the workload grows.</w:t>
      </w:r>
    </w:p>
    <w:p w14:paraId="0ADB003B" w14:textId="77777777" w:rsidR="00BF2700" w:rsidRDefault="00BF2700" w:rsidP="00BF2700">
      <w:pPr>
        <w:pStyle w:val="ListParagraph"/>
        <w:numPr>
          <w:ilvl w:val="0"/>
          <w:numId w:val="19"/>
        </w:numPr>
      </w:pPr>
      <w:r>
        <w:rPr>
          <w:b/>
        </w:rPr>
        <w:lastRenderedPageBreak/>
        <w:t>Hash Joins and Sorts</w:t>
      </w:r>
      <w:r>
        <w:t>:</w:t>
      </w:r>
      <w:r>
        <w:rPr>
          <w:b/>
        </w:rPr>
        <w:t xml:space="preserve"> </w:t>
      </w:r>
      <w:r>
        <w:t xml:space="preserve">Queries that rely on large-scale hash joins or perform large-scale sorting operations will benefit from large amounts of physical memory. With smaller memory, these operations will spill to disk and heavily utilize </w:t>
      </w:r>
      <w:r w:rsidRPr="00CA7574">
        <w:rPr>
          <w:b/>
        </w:rPr>
        <w:t>tempdb</w:t>
      </w:r>
      <w:r>
        <w:t xml:space="preserve">, which introduces a random I/O pattern across the data drives on the server. </w:t>
      </w:r>
    </w:p>
    <w:p w14:paraId="0EA497F3" w14:textId="77777777" w:rsidR="00BF2700" w:rsidRDefault="00BF2700" w:rsidP="00BF2700">
      <w:pPr>
        <w:pStyle w:val="ListParagraph"/>
        <w:numPr>
          <w:ilvl w:val="0"/>
          <w:numId w:val="19"/>
        </w:numPr>
        <w:jc w:val="both"/>
      </w:pPr>
      <w:r>
        <w:rPr>
          <w:b/>
        </w:rPr>
        <w:t>Loads</w:t>
      </w:r>
      <w:r>
        <w:t xml:space="preserve">: Bulk inserts can also introduce sorting operations that utilize </w:t>
      </w:r>
      <w:r w:rsidRPr="00CA7574">
        <w:rPr>
          <w:b/>
        </w:rPr>
        <w:t>tempdb</w:t>
      </w:r>
      <w:r>
        <w:t xml:space="preserve"> if they cannot be processed in available memory.</w:t>
      </w:r>
    </w:p>
    <w:p w14:paraId="5B6607D0" w14:textId="77777777" w:rsidR="00BF2700" w:rsidRPr="008F7D02" w:rsidRDefault="00BF2700" w:rsidP="00BF2700">
      <w:r w:rsidRPr="008F7D02">
        <w:rPr>
          <w:b/>
          <w:i/>
        </w:rPr>
        <w:t>Local Disk:</w:t>
      </w:r>
      <w:r>
        <w:rPr>
          <w:b/>
          <w:i/>
        </w:rPr>
        <w:t xml:space="preserve"> </w:t>
      </w:r>
      <w:r>
        <w:t>A 2-disk RAID1 array is the minimum allocation for operating system and SQL Server application installation. Remaining disk configuration depends on the use case and customer preference.</w:t>
      </w:r>
    </w:p>
    <w:p w14:paraId="74469BCA" w14:textId="77777777" w:rsidR="00BF2700" w:rsidRDefault="00BF2700" w:rsidP="00BF2700">
      <w:pPr>
        <w:pStyle w:val="Heading4"/>
      </w:pPr>
      <w:r>
        <w:t>Fibre Channel SAN</w:t>
      </w:r>
    </w:p>
    <w:p w14:paraId="53D37D6E" w14:textId="77777777" w:rsidR="00BF2700" w:rsidRDefault="00BF2700" w:rsidP="00BF2700">
      <w:r w:rsidRPr="00AD1BEC">
        <w:rPr>
          <w:b/>
        </w:rPr>
        <w:t>HBA – SAN</w:t>
      </w:r>
      <w:r>
        <w:t>:</w:t>
      </w:r>
      <w:r w:rsidRPr="00D01CB2">
        <w:t xml:space="preserve"> </w:t>
      </w:r>
      <w:r>
        <w:t xml:space="preserve">All HBA and SAN network components vary to some degree by make and model. In addition, storage enclosure throughput can be sensitive to SAN configuration and PCIe bus capabilities. This recommendation is a general guideline and is consistent with testing performed during FTDW reference configuration development. </w:t>
      </w:r>
    </w:p>
    <w:p w14:paraId="737FD846" w14:textId="77777777" w:rsidR="00BF2700" w:rsidRDefault="00BF2700" w:rsidP="00BF2700">
      <w:r>
        <w:t xml:space="preserve">All FC ports should be connected to the FC switch within the same FC zone. Only ports in use for Fast Track should exist in the zone. Affinity between HBA port and SAN port is not prescribed by the Fast Track RA. Instead, aggregate bandwidth is assumed across a shared zone – hence a FC switch is required. </w:t>
      </w:r>
      <w:r w:rsidRPr="00E33C1B">
        <w:t>HBA queue depth should be set appropriate to the anticipated workload.</w:t>
      </w:r>
    </w:p>
    <w:p w14:paraId="0A98E42D" w14:textId="77777777" w:rsidR="00BF2700" w:rsidRDefault="00BF2700" w:rsidP="00BF2700">
      <w:r>
        <w:t>Additional, vendor-specific HBA and SAN configuration details can be found for some Fast Track partner solutions. For Fast Track 3.0 HP, Dell and IBM all publish technical white papers with additional guidance for SAN configuration and PCIe slot optimization. If differing guidance is offered, vendor-specific guidance supersedes this Reference Guide.</w:t>
      </w:r>
    </w:p>
    <w:p w14:paraId="267657CF" w14:textId="77777777" w:rsidR="00BF2700" w:rsidRPr="00E33C1B" w:rsidRDefault="00BF2700" w:rsidP="00BF2700">
      <w:pPr>
        <w:rPr>
          <w:i/>
        </w:rPr>
      </w:pPr>
      <w:r>
        <w:rPr>
          <w:b/>
          <w:i/>
        </w:rPr>
        <w:t>Multipath I/O (</w:t>
      </w:r>
      <w:r w:rsidRPr="00A67B6A">
        <w:rPr>
          <w:b/>
          <w:i/>
        </w:rPr>
        <w:t>MPIO</w:t>
      </w:r>
      <w:r>
        <w:rPr>
          <w:b/>
          <w:i/>
        </w:rPr>
        <w:t>)</w:t>
      </w:r>
      <w:r w:rsidRPr="00A67B6A">
        <w:rPr>
          <w:b/>
          <w:i/>
        </w:rPr>
        <w:t xml:space="preserve">: </w:t>
      </w:r>
      <w:r w:rsidRPr="001D12B3">
        <w:t xml:space="preserve">MPIO should be configured. Each </w:t>
      </w:r>
      <w:r>
        <w:t xml:space="preserve">disk volume / </w:t>
      </w:r>
      <w:r w:rsidRPr="001D12B3">
        <w:t xml:space="preserve">LUN from the SAN should appear as a separate disk </w:t>
      </w:r>
      <w:r>
        <w:t>in</w:t>
      </w:r>
      <w:r w:rsidRPr="001D12B3">
        <w:t xml:space="preserve"> Windows. Each </w:t>
      </w:r>
      <w:r>
        <w:t>volume</w:t>
      </w:r>
      <w:r w:rsidRPr="001D12B3">
        <w:t xml:space="preserve"> </w:t>
      </w:r>
      <w:r>
        <w:t xml:space="preserve">hosted on the SAN arrays </w:t>
      </w:r>
      <w:r w:rsidRPr="001D12B3">
        <w:t>should have multiple MPIO paths defined</w:t>
      </w:r>
      <w:r>
        <w:t xml:space="preserve"> with at least one Active path</w:t>
      </w:r>
      <w:r w:rsidRPr="001D12B3">
        <w:t xml:space="preserve">. </w:t>
      </w:r>
    </w:p>
    <w:p w14:paraId="2513624A" w14:textId="77777777" w:rsidR="00BF2700" w:rsidRPr="00E33C1B" w:rsidRDefault="00BF2700" w:rsidP="00BF2700">
      <w:r w:rsidRPr="001D12B3">
        <w:t>Round-</w:t>
      </w:r>
      <w:r>
        <w:t>r</w:t>
      </w:r>
      <w:r w:rsidRPr="001D12B3">
        <w:t>obin</w:t>
      </w:r>
      <w:r>
        <w:t>, with subset policy</w:t>
      </w:r>
      <w:r w:rsidRPr="001D12B3">
        <w:t xml:space="preserve"> should be used where the Microsoft Device-Specific Module (DSM) is configured. Vendor</w:t>
      </w:r>
      <w:r>
        <w:t>-</w:t>
      </w:r>
      <w:r w:rsidRPr="001D12B3">
        <w:t xml:space="preserve">specific DSMs </w:t>
      </w:r>
      <w:r>
        <w:t xml:space="preserve">and/or documentation </w:t>
      </w:r>
      <w:r w:rsidRPr="001D12B3">
        <w:t xml:space="preserve">may </w:t>
      </w:r>
      <w:r>
        <w:t>prescribe</w:t>
      </w:r>
      <w:r w:rsidRPr="001D12B3">
        <w:t xml:space="preserve"> different settings</w:t>
      </w:r>
      <w:r>
        <w:t xml:space="preserve"> and should be reviewed prior to configuration.</w:t>
      </w:r>
    </w:p>
    <w:p w14:paraId="73AE6C4C" w14:textId="77777777" w:rsidR="00BF2700" w:rsidRDefault="00BF2700" w:rsidP="00BF2700">
      <w:pPr>
        <w:pStyle w:val="Heading4"/>
      </w:pPr>
      <w:r>
        <w:t>Storage</w:t>
      </w:r>
    </w:p>
    <w:p w14:paraId="057DA164" w14:textId="77777777" w:rsidR="00BF2700" w:rsidRDefault="00BF2700" w:rsidP="00BF2700">
      <w:r>
        <w:rPr>
          <w:b/>
          <w:i/>
        </w:rPr>
        <w:t>Logical File System</w:t>
      </w:r>
      <w:r w:rsidRPr="000921D5">
        <w:rPr>
          <w:b/>
          <w:i/>
        </w:rPr>
        <w:t xml:space="preserve">: </w:t>
      </w:r>
      <w:r>
        <w:t xml:space="preserve">Mounting LUNs to windows folders (mount points) rather than drive letters is preferred due to the number of drives added in a Fast Track system. </w:t>
      </w:r>
    </w:p>
    <w:p w14:paraId="3FA51D85" w14:textId="77777777" w:rsidR="00BF2700" w:rsidRPr="00901E0B" w:rsidRDefault="00BF2700" w:rsidP="00BF2700">
      <w:pPr>
        <w:rPr>
          <w:sz w:val="18"/>
          <w:szCs w:val="18"/>
        </w:rPr>
      </w:pPr>
      <w:r>
        <w:t>It can be useful to understand which</w:t>
      </w:r>
      <w:r w:rsidRPr="0054632A">
        <w:t xml:space="preserve"> Windows</w:t>
      </w:r>
      <w:r>
        <w:t xml:space="preserve"> operating system drive assignment represents which LUN (volume), RAID Disk Group, and Windows Server Mount Point in the storage enclosures. You can adopt a</w:t>
      </w:r>
      <w:r w:rsidRPr="0054632A">
        <w:t xml:space="preserve"> naming scheme for the m</w:t>
      </w:r>
      <w:r>
        <w:t>ount points</w:t>
      </w:r>
      <w:r w:rsidRPr="0054632A">
        <w:t xml:space="preserve"> and volumes when mount</w:t>
      </w:r>
      <w:r>
        <w:t xml:space="preserve">ing LUNs to Windows folders. Refer to the </w:t>
      </w:r>
      <w:r w:rsidR="002927C9">
        <w:t xml:space="preserve">FTDW 3.0 Schema Wizard found at the </w:t>
      </w:r>
      <w:hyperlink r:id="rId16" w:history="1">
        <w:r w:rsidR="00E40D67">
          <w:rPr>
            <w:rStyle w:val="Hyperlink"/>
          </w:rPr>
          <w:t>SQL Server 2008 R2 Fast Track Portal</w:t>
        </w:r>
      </w:hyperlink>
      <w:r>
        <w:t xml:space="preserve"> </w:t>
      </w:r>
      <w:r w:rsidR="002927C9">
        <w:t xml:space="preserve">for </w:t>
      </w:r>
      <w:r>
        <w:t>examples of Volume naming schemes recommended for FTDW systems.</w:t>
      </w:r>
    </w:p>
    <w:p w14:paraId="3C6A46E4" w14:textId="77777777" w:rsidR="00BF2700" w:rsidRDefault="00BF2700" w:rsidP="00BF2700">
      <w:r>
        <w:lastRenderedPageBreak/>
        <w:t>You can use vendor-specific tools to achieve the recommended volume naming scheme. If a tool is not available you can make</w:t>
      </w:r>
      <w:r w:rsidRPr="0054632A">
        <w:t xml:space="preserve"> one disk available to </w:t>
      </w:r>
      <w:r>
        <w:t>W</w:t>
      </w:r>
      <w:r w:rsidRPr="0054632A">
        <w:t xml:space="preserve">indows at </w:t>
      </w:r>
      <w:r>
        <w:t>a time from the storage arrays while assigning drive names to ensure the correct physical-to-logical topology.</w:t>
      </w:r>
    </w:p>
    <w:p w14:paraId="542E6EEB" w14:textId="77777777" w:rsidR="00BF2700" w:rsidRPr="00F206B9" w:rsidRDefault="00BF2700" w:rsidP="00BF2700">
      <w:r>
        <w:rPr>
          <w:b/>
          <w:i/>
        </w:rPr>
        <w:t>Physical File System</w:t>
      </w:r>
      <w:r w:rsidRPr="000921D5">
        <w:rPr>
          <w:b/>
          <w:i/>
        </w:rPr>
        <w:t>:</w:t>
      </w:r>
      <w:r>
        <w:rPr>
          <w:b/>
          <w:i/>
        </w:rPr>
        <w:t xml:space="preserve"> </w:t>
      </w:r>
      <w:r>
        <w:t xml:space="preserve">For more information, including detailed instructions, see the </w:t>
      </w:r>
      <w:hyperlink w:anchor="_Application_Configuration" w:history="1">
        <w:r w:rsidRPr="00B0173A">
          <w:rPr>
            <w:rStyle w:val="Hyperlink"/>
          </w:rPr>
          <w:t>Application Configuration</w:t>
        </w:r>
      </w:hyperlink>
      <w:r>
        <w:t xml:space="preserve"> section.</w:t>
      </w:r>
    </w:p>
    <w:p w14:paraId="14622243" w14:textId="77777777" w:rsidR="00BF2700" w:rsidRDefault="00BF2700" w:rsidP="00BF2700">
      <w:r>
        <w:rPr>
          <w:b/>
          <w:i/>
        </w:rPr>
        <w:t>Storage Enclosure Configuration</w:t>
      </w:r>
      <w:r w:rsidRPr="000921D5">
        <w:rPr>
          <w:b/>
          <w:i/>
        </w:rPr>
        <w:t>:</w:t>
      </w:r>
      <w:r w:rsidRPr="0094284D">
        <w:t xml:space="preserve"> All </w:t>
      </w:r>
      <w:r>
        <w:t>enclosure</w:t>
      </w:r>
      <w:r w:rsidRPr="0094284D">
        <w:t xml:space="preserve"> settings</w:t>
      </w:r>
      <w:r>
        <w:t xml:space="preserve"> remain at their defaults. FTDW specifications for file system configuration require storage enclosures that allow specific configuration of RAID groupings and LUN assignments. This should be taken into account for any FTDW reference configuration hardware substitutions or custom hardware evaluations.</w:t>
      </w:r>
    </w:p>
    <w:p w14:paraId="13C9259B" w14:textId="77777777" w:rsidR="00BF2700" w:rsidRPr="00EC597F" w:rsidRDefault="00BF2700" w:rsidP="00BF2700">
      <w:pPr>
        <w:pStyle w:val="Heading2"/>
      </w:pPr>
      <w:bookmarkStart w:id="13" w:name="_Toc284834171"/>
      <w:r>
        <w:t>Application Configuration</w:t>
      </w:r>
      <w:bookmarkEnd w:id="13"/>
    </w:p>
    <w:p w14:paraId="26B466CE" w14:textId="77777777" w:rsidR="00BF2700" w:rsidRPr="00AE6F94" w:rsidRDefault="00BF2700" w:rsidP="00BF2700">
      <w:pPr>
        <w:pStyle w:val="Heading3"/>
      </w:pPr>
      <w:r w:rsidRPr="00AE6F94">
        <w:t>Windows Server 2008</w:t>
      </w:r>
    </w:p>
    <w:p w14:paraId="71D8A8DA" w14:textId="77777777" w:rsidR="00BF2700" w:rsidRDefault="00BF2700" w:rsidP="00BF2700">
      <w:r>
        <w:t>Default settings should be used for the Windows Server 2008 (or Windows Server 2008 R2) operating system. The Multipath I/O feature is required.</w:t>
      </w:r>
    </w:p>
    <w:p w14:paraId="1FD29FFE" w14:textId="77777777" w:rsidR="00BF2700" w:rsidRDefault="00BF2700" w:rsidP="00BF2700">
      <w:r>
        <w:t xml:space="preserve">The hotfixes </w:t>
      </w:r>
      <w:r w:rsidR="00E40D67">
        <w:t xml:space="preserve">listed below </w:t>
      </w:r>
      <w:r>
        <w:t>should be app</w:t>
      </w:r>
      <w:r w:rsidR="00E40D67">
        <w:t>lied for Windows Server 2008 R2. The hotfixes will not deploy if they have been previously applied or are no longer necessary.</w:t>
      </w:r>
    </w:p>
    <w:p w14:paraId="6E50A338" w14:textId="77777777" w:rsidR="00BF2700" w:rsidRPr="001F11A2" w:rsidRDefault="00657256" w:rsidP="00BF2700">
      <w:pPr>
        <w:numPr>
          <w:ilvl w:val="1"/>
          <w:numId w:val="43"/>
        </w:numPr>
      </w:pPr>
      <w:hyperlink r:id="rId17" w:history="1">
        <w:r w:rsidR="00BF2700">
          <w:rPr>
            <w:rStyle w:val="Hyperlink"/>
          </w:rPr>
          <w:t>kb982383</w:t>
        </w:r>
      </w:hyperlink>
    </w:p>
    <w:p w14:paraId="26929448" w14:textId="77777777" w:rsidR="00BF2700" w:rsidRPr="001F11A2" w:rsidRDefault="00657256" w:rsidP="00BF2700">
      <w:pPr>
        <w:numPr>
          <w:ilvl w:val="1"/>
          <w:numId w:val="43"/>
        </w:numPr>
      </w:pPr>
      <w:hyperlink r:id="rId18" w:history="1">
        <w:r w:rsidR="00BF2700">
          <w:rPr>
            <w:rStyle w:val="Hyperlink"/>
          </w:rPr>
          <w:t>kb979149</w:t>
        </w:r>
      </w:hyperlink>
    </w:p>
    <w:p w14:paraId="604F4839" w14:textId="77777777" w:rsidR="00BF2700" w:rsidRPr="001F11A2" w:rsidRDefault="00657256" w:rsidP="00BF2700">
      <w:pPr>
        <w:numPr>
          <w:ilvl w:val="1"/>
          <w:numId w:val="43"/>
        </w:numPr>
      </w:pPr>
      <w:hyperlink r:id="rId19" w:history="1">
        <w:r w:rsidR="00BF2700">
          <w:rPr>
            <w:rStyle w:val="Hyperlink"/>
          </w:rPr>
          <w:t>kb976700</w:t>
        </w:r>
      </w:hyperlink>
    </w:p>
    <w:p w14:paraId="5C92AA24" w14:textId="77777777" w:rsidR="00BF2700" w:rsidRPr="008E20A3" w:rsidRDefault="00BF2700" w:rsidP="00BF2700"/>
    <w:p w14:paraId="01961574" w14:textId="77777777" w:rsidR="00BF2700" w:rsidRDefault="00BF2700" w:rsidP="00BF2700">
      <w:pPr>
        <w:pStyle w:val="Heading3"/>
      </w:pPr>
      <w:r w:rsidRPr="00AE6F94">
        <w:t>SQL Server 2008</w:t>
      </w:r>
      <w:r>
        <w:t xml:space="preserve"> R2</w:t>
      </w:r>
    </w:p>
    <w:p w14:paraId="75C1A59B" w14:textId="77777777" w:rsidR="00BF2700" w:rsidRPr="00377A7A" w:rsidRDefault="00BF2700" w:rsidP="00BF2700">
      <w:pPr>
        <w:pStyle w:val="Heading4"/>
      </w:pPr>
      <w:r>
        <w:t>Startup Options</w:t>
      </w:r>
    </w:p>
    <w:p w14:paraId="20FB1A6E" w14:textId="77777777" w:rsidR="00BF2700" w:rsidRDefault="00BF2700" w:rsidP="00BF2700">
      <w:r w:rsidRPr="00346007">
        <w:rPr>
          <w:b/>
        </w:rPr>
        <w:t>-E</w:t>
      </w:r>
      <w:r>
        <w:rPr>
          <w:b/>
        </w:rPr>
        <w:t xml:space="preserve"> </w:t>
      </w:r>
      <w:r>
        <w:t>must</w:t>
      </w:r>
      <w:r w:rsidRPr="00346007">
        <w:t xml:space="preserve"> be added to the start-up options. This increases the number of </w:t>
      </w:r>
      <w:r>
        <w:t xml:space="preserve">contiguous </w:t>
      </w:r>
      <w:r w:rsidRPr="00346007">
        <w:t xml:space="preserve">extents </w:t>
      </w:r>
      <w:r>
        <w:t xml:space="preserve">in each file </w:t>
      </w:r>
      <w:r w:rsidRPr="00346007">
        <w:t>that are allocate</w:t>
      </w:r>
      <w:r>
        <w:t xml:space="preserve">d to a database table as it grows. </w:t>
      </w:r>
      <w:r w:rsidRPr="00346007">
        <w:t>Th</w:t>
      </w:r>
      <w:r>
        <w:t>is improves sequential disk access</w:t>
      </w:r>
      <w:r w:rsidRPr="00346007">
        <w:t>.</w:t>
      </w:r>
      <w:r>
        <w:t xml:space="preserve"> Microsoft Knowledge Base Article </w:t>
      </w:r>
      <w:hyperlink r:id="rId20" w:history="1">
        <w:r w:rsidRPr="00EC6941">
          <w:rPr>
            <w:rStyle w:val="Hyperlink"/>
          </w:rPr>
          <w:t>329526</w:t>
        </w:r>
      </w:hyperlink>
      <w:r>
        <w:t xml:space="preserve"> describes the </w:t>
      </w:r>
      <w:r w:rsidRPr="00325E22">
        <w:rPr>
          <w:b/>
        </w:rPr>
        <w:t>-E</w:t>
      </w:r>
      <w:r>
        <w:t xml:space="preserve"> option in more detail.</w:t>
      </w:r>
    </w:p>
    <w:p w14:paraId="5C31BB5C" w14:textId="77777777" w:rsidR="00BF2700" w:rsidRDefault="00BF2700" w:rsidP="00BF2700">
      <w:r w:rsidRPr="00B440FE">
        <w:rPr>
          <w:b/>
        </w:rPr>
        <w:t>-T1117</w:t>
      </w:r>
      <w:r>
        <w:t xml:space="preserve"> </w:t>
      </w:r>
      <w:r w:rsidRPr="00346007">
        <w:t>should be added to the start-up options.</w:t>
      </w:r>
      <w:r>
        <w:t xml:space="preserve"> This trace flag ensures even growth of all files in a file group in the case that autogrow is enabled. The standard FTDW recommendation for database file growth is to preallocate rather than autogrow (with the exception of </w:t>
      </w:r>
      <w:r w:rsidRPr="001E28CA">
        <w:rPr>
          <w:b/>
        </w:rPr>
        <w:t>tempdb</w:t>
      </w:r>
      <w:r>
        <w:t xml:space="preserve">) as noted in </w:t>
      </w:r>
      <w:hyperlink w:anchor="_Storage_Configuration_Details" w:history="1">
        <w:r w:rsidRPr="005811CF">
          <w:rPr>
            <w:rStyle w:val="Hyperlink"/>
          </w:rPr>
          <w:t>Storage Configuration Details</w:t>
        </w:r>
      </w:hyperlink>
      <w:r>
        <w:t>.</w:t>
      </w:r>
    </w:p>
    <w:p w14:paraId="7AEDAA9C" w14:textId="77777777" w:rsidR="00BF2700" w:rsidRPr="00265546" w:rsidRDefault="00BF2700" w:rsidP="00BF2700">
      <w:r>
        <w:t xml:space="preserve">Enable option </w:t>
      </w:r>
      <w:r w:rsidRPr="00B12DE7">
        <w:rPr>
          <w:b/>
        </w:rPr>
        <w:t>Lock Pages in Memory</w:t>
      </w:r>
      <w:r>
        <w:t xml:space="preserve">. For more information, see </w:t>
      </w:r>
      <w:hyperlink r:id="rId21" w:history="1">
        <w:r w:rsidRPr="00277172">
          <w:rPr>
            <w:rStyle w:val="Hyperlink"/>
            <w:rFonts w:cs="Arial"/>
            <w:bCs/>
          </w:rPr>
          <w:t>How to: Enable the Lock Pages in Memory Option</w:t>
        </w:r>
      </w:hyperlink>
      <w:r>
        <w:t>.</w:t>
      </w:r>
    </w:p>
    <w:p w14:paraId="0AB71BFC" w14:textId="77777777" w:rsidR="00BF2700" w:rsidRDefault="00BF2700" w:rsidP="00BF2700">
      <w:r w:rsidRPr="00960AF8">
        <w:rPr>
          <w:b/>
        </w:rPr>
        <w:t>-T834</w:t>
      </w:r>
      <w:r>
        <w:rPr>
          <w:b/>
        </w:rPr>
        <w:t xml:space="preserve"> </w:t>
      </w:r>
      <w:r>
        <w:t xml:space="preserve">should be evaluated on a case-by-case basis. This can improve throughput rates for many DW workloads. This flag enables large page allocations in memory for the SQL Server buffer pool. Benchmarks for FT 3.0 do not use T834. For more information about this and other trace flags, see </w:t>
      </w:r>
      <w:hyperlink r:id="rId22" w:history="1">
        <w:r>
          <w:rPr>
            <w:rStyle w:val="Hyperlink"/>
          </w:rPr>
          <w:t>SQL Server Performance Tuning &amp; Trace Flags</w:t>
        </w:r>
      </w:hyperlink>
      <w:r>
        <w:t>.</w:t>
      </w:r>
    </w:p>
    <w:p w14:paraId="2DB94905" w14:textId="77777777" w:rsidR="00BF2700" w:rsidRPr="00377A7A" w:rsidRDefault="00BF2700" w:rsidP="00BF2700"/>
    <w:p w14:paraId="383320AE" w14:textId="77777777" w:rsidR="00BF2700" w:rsidRDefault="00BF2700" w:rsidP="00BF2700">
      <w:pPr>
        <w:pStyle w:val="Heading4"/>
      </w:pPr>
      <w:r>
        <w:t>Resource Governor</w:t>
      </w:r>
    </w:p>
    <w:p w14:paraId="1C798137" w14:textId="77777777" w:rsidR="00BF2700" w:rsidRDefault="00BF2700" w:rsidP="00BF2700">
      <w:r>
        <w:t>Data warehousing workloads typically include a good proportion of complex queries operating on large volumes of data. These queries often consume large amounts of memory, and they can spill to disk where memory is constrained. This has specific implications in terms of resource management.</w:t>
      </w:r>
      <w:r w:rsidRPr="00576EEB">
        <w:t xml:space="preserve"> </w:t>
      </w:r>
      <w:r>
        <w:t>You can use the Resource Governor technology in SQL Server 2008 to manage resource usage. Maximum memory settings are of particular importance in this context.</w:t>
      </w:r>
    </w:p>
    <w:p w14:paraId="7C5ED1D3" w14:textId="77777777" w:rsidR="00BF2700" w:rsidRPr="000445B6" w:rsidRDefault="00BF2700" w:rsidP="00BF2700">
      <w:r>
        <w:t>In default settings for SQL Server, Resource Governor is provides a maximum of 25 percent of SQL Server memory resources to each session. This means that, at worst, three queries heavy enough to consume at least 25 percent of available memory will block any other memory-intensive query. In this state, any additional queries that require a large memory grant to run will queue until resources become available.</w:t>
      </w:r>
    </w:p>
    <w:p w14:paraId="5CA48A5B" w14:textId="77777777" w:rsidR="00BF2700" w:rsidRDefault="00BF2700" w:rsidP="00BF2700">
      <w:r>
        <w:t xml:space="preserve">You can use </w:t>
      </w:r>
      <w:r w:rsidRPr="00D938E6">
        <w:t>Resource Governor to reduce the maximum memory consumed per query.</w:t>
      </w:r>
      <w:r>
        <w:t xml:space="preserve"> </w:t>
      </w:r>
      <w:r w:rsidRPr="00D938E6">
        <w:t>However</w:t>
      </w:r>
      <w:r>
        <w:t>,</w:t>
      </w:r>
      <w:r w:rsidRPr="00D938E6">
        <w:t xml:space="preserve"> as a result, concurrent queries that would otherwise consume large amounts of memory utilize </w:t>
      </w:r>
      <w:r w:rsidRPr="00555B03">
        <w:rPr>
          <w:b/>
        </w:rPr>
        <w:t>tempdb</w:t>
      </w:r>
      <w:r>
        <w:t xml:space="preserve"> instead</w:t>
      </w:r>
      <w:r w:rsidRPr="00D938E6">
        <w:t>, introducing more random I</w:t>
      </w:r>
      <w:r>
        <w:t>/</w:t>
      </w:r>
      <w:r w:rsidRPr="00D938E6">
        <w:t>O</w:t>
      </w:r>
      <w:r>
        <w:t>,</w:t>
      </w:r>
      <w:r w:rsidRPr="00D938E6">
        <w:t xml:space="preserve"> which can reduce overall throughput.</w:t>
      </w:r>
      <w:r>
        <w:t xml:space="preserve"> </w:t>
      </w:r>
      <w:r w:rsidRPr="00D938E6">
        <w:t>While it</w:t>
      </w:r>
      <w:r>
        <w:t xml:space="preserve"> </w:t>
      </w:r>
      <w:r w:rsidRPr="00D938E6">
        <w:rPr>
          <w:bCs/>
        </w:rPr>
        <w:t xml:space="preserve">can be beneficial for many </w:t>
      </w:r>
      <w:r>
        <w:rPr>
          <w:bCs/>
        </w:rPr>
        <w:t>data warehouse</w:t>
      </w:r>
      <w:r w:rsidRPr="00D938E6">
        <w:rPr>
          <w:bCs/>
        </w:rPr>
        <w:t xml:space="preserve"> workloads to limit the amount of system resources available to an individual session</w:t>
      </w:r>
      <w:r>
        <w:rPr>
          <w:bCs/>
        </w:rPr>
        <w:t>, t</w:t>
      </w:r>
      <w:r w:rsidRPr="00D938E6">
        <w:rPr>
          <w:bCs/>
        </w:rPr>
        <w:t xml:space="preserve">his is best measured through analysis of concurrency benchmarks and workload requirements. For </w:t>
      </w:r>
      <w:r>
        <w:rPr>
          <w:bCs/>
        </w:rPr>
        <w:t>more information about</w:t>
      </w:r>
      <w:r w:rsidRPr="00D938E6">
        <w:rPr>
          <w:bCs/>
        </w:rPr>
        <w:t xml:space="preserve"> how to use Resource Governor</w:t>
      </w:r>
      <w:r>
        <w:rPr>
          <w:bCs/>
        </w:rPr>
        <w:t>,</w:t>
      </w:r>
      <w:r w:rsidRPr="00D938E6">
        <w:rPr>
          <w:bCs/>
        </w:rPr>
        <w:t xml:space="preserve"> see </w:t>
      </w:r>
      <w:hyperlink r:id="rId23" w:history="1">
        <w:r w:rsidRPr="00D938E6">
          <w:rPr>
            <w:rStyle w:val="Hyperlink"/>
            <w:bCs/>
          </w:rPr>
          <w:t>Managing SQL Server Workloads with Resource Governor</w:t>
        </w:r>
      </w:hyperlink>
      <w:r>
        <w:t xml:space="preserve"> in SQL Server Books Online</w:t>
      </w:r>
      <w:r w:rsidRPr="00D938E6">
        <w:rPr>
          <w:bCs/>
        </w:rPr>
        <w:t>.</w:t>
      </w:r>
      <w:r>
        <w:rPr>
          <w:bCs/>
        </w:rPr>
        <w:t xml:space="preserve"> Vendor specific guidance and practices for Fast Track solutions should also be reviewed. In particular, larger 4-socket and 8-socket Fast Track solutions may rely on specific Resource Governor settings to achieve optimal performance.</w:t>
      </w:r>
    </w:p>
    <w:p w14:paraId="2F5CA4E5" w14:textId="77777777" w:rsidR="00BF2700" w:rsidRDefault="00BF2700" w:rsidP="00BF2700">
      <w:r>
        <w:rPr>
          <w:bCs/>
        </w:rPr>
        <w:t>In summary, there is a trade-off between lowering constraints that offer higher performance for individual queries and more stringent constraints that guarantee the number of queries that can run concurrently.</w:t>
      </w:r>
      <w:r w:rsidRPr="00D938E6">
        <w:rPr>
          <w:bCs/>
        </w:rPr>
        <w:t xml:space="preserve"> </w:t>
      </w:r>
      <w:r>
        <w:rPr>
          <w:bCs/>
        </w:rPr>
        <w:t>Setting MAXDOP at a value other than the maximum will also have an impact – in effect, it further segments the resources available, and it constrains I/O throughput to an individual query.</w:t>
      </w:r>
    </w:p>
    <w:p w14:paraId="102EA4E2" w14:textId="77777777" w:rsidR="00BF2700" w:rsidRPr="00FA0BB6" w:rsidRDefault="00BF2700" w:rsidP="00BF2700">
      <w:r>
        <w:rPr>
          <w:bCs/>
        </w:rPr>
        <w:t xml:space="preserve">For more information about best practices and common scenarios for </w:t>
      </w:r>
      <w:r w:rsidRPr="00B0173A">
        <w:rPr>
          <w:bCs/>
        </w:rPr>
        <w:t>Resource Governor</w:t>
      </w:r>
      <w:r>
        <w:rPr>
          <w:bCs/>
        </w:rPr>
        <w:t xml:space="preserve">, see the white paper </w:t>
      </w:r>
      <w:hyperlink r:id="rId24" w:history="1">
        <w:r w:rsidRPr="00555B03">
          <w:rPr>
            <w:rStyle w:val="Hyperlink"/>
            <w:bCs/>
          </w:rPr>
          <w:t>Using the Resource Governor</w:t>
        </w:r>
      </w:hyperlink>
      <w:r>
        <w:t>.</w:t>
      </w:r>
      <w:r w:rsidRPr="00B0173A">
        <w:rPr>
          <w:bCs/>
        </w:rPr>
        <w:t xml:space="preserve"> </w:t>
      </w:r>
    </w:p>
    <w:p w14:paraId="687834B6" w14:textId="77777777" w:rsidR="00BF2700" w:rsidRDefault="00BF2700" w:rsidP="00BF2700">
      <w:pPr>
        <w:pStyle w:val="Heading3"/>
      </w:pPr>
      <w:r>
        <w:t>Storage System</w:t>
      </w:r>
    </w:p>
    <w:p w14:paraId="668B1650" w14:textId="77777777" w:rsidR="00BF2700" w:rsidRPr="00206020" w:rsidRDefault="00BF2700" w:rsidP="00BF2700">
      <w:r>
        <w:t>Managing fragmentation is crucial to system performance over time for Fast Track Data Warehouse reference architectures. For this reason, a detailed storage and file system configuration is specified.</w:t>
      </w:r>
    </w:p>
    <w:p w14:paraId="00E3DFFF" w14:textId="77777777" w:rsidR="00BF2700" w:rsidRDefault="00BF2700" w:rsidP="00BF2700">
      <w:pPr>
        <w:pStyle w:val="Heading4"/>
      </w:pPr>
      <w:r>
        <w:t>Storage System Components</w:t>
      </w:r>
    </w:p>
    <w:p w14:paraId="4114E073" w14:textId="77777777" w:rsidR="00BF2700" w:rsidRDefault="00BF2700" w:rsidP="00BF2700">
      <w:r>
        <w:t>Figure 3 provides a view that combines three primary layers of storage configuration for the integrated database stack</w:t>
      </w:r>
      <w:r w:rsidRPr="00325E22">
        <w:t xml:space="preserve">. </w:t>
      </w:r>
      <w:r>
        <w:t>The database stack contains the following elements:</w:t>
      </w:r>
    </w:p>
    <w:p w14:paraId="58F37910" w14:textId="77777777" w:rsidR="00BF2700" w:rsidRDefault="00BF2700" w:rsidP="00BF2700">
      <w:pPr>
        <w:pStyle w:val="ListParagraph"/>
        <w:numPr>
          <w:ilvl w:val="0"/>
          <w:numId w:val="30"/>
        </w:numPr>
      </w:pPr>
      <w:r>
        <w:t>Physical disk array (4 spindle RAID 1+0)</w:t>
      </w:r>
    </w:p>
    <w:p w14:paraId="0F784597" w14:textId="77777777" w:rsidR="00BF2700" w:rsidRDefault="00BF2700" w:rsidP="00BF2700">
      <w:pPr>
        <w:pStyle w:val="ListParagraph"/>
        <w:numPr>
          <w:ilvl w:val="0"/>
          <w:numId w:val="30"/>
        </w:numPr>
      </w:pPr>
      <w:r>
        <w:t>Operating system volume assignment (LUN)</w:t>
      </w:r>
    </w:p>
    <w:p w14:paraId="14125F1D" w14:textId="77777777" w:rsidR="00BF2700" w:rsidRDefault="00BF2700" w:rsidP="00BF2700">
      <w:pPr>
        <w:pStyle w:val="ListParagraph"/>
        <w:numPr>
          <w:ilvl w:val="0"/>
          <w:numId w:val="30"/>
        </w:numPr>
      </w:pPr>
      <w:r>
        <w:lastRenderedPageBreak/>
        <w:t>Databases: User, System Temp, System Log</w:t>
      </w:r>
      <w:r>
        <w:rPr>
          <w:noProof/>
        </w:rPr>
        <w:drawing>
          <wp:inline distT="0" distB="0" distL="0" distR="0" wp14:anchorId="79D12F6A" wp14:editId="6914F554">
            <wp:extent cx="5248275" cy="5343525"/>
            <wp:effectExtent l="0" t="0" r="9525" b="9525"/>
            <wp:docPr id="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9461" cy="5344733"/>
                    </a:xfrm>
                    <a:prstGeom prst="rect">
                      <a:avLst/>
                    </a:prstGeom>
                    <a:noFill/>
                  </pic:spPr>
                </pic:pic>
              </a:graphicData>
            </a:graphic>
          </wp:inline>
        </w:drawing>
      </w:r>
    </w:p>
    <w:p w14:paraId="1FD7AA49" w14:textId="77777777" w:rsidR="00BF2700" w:rsidRPr="00762E33" w:rsidRDefault="00BF2700" w:rsidP="00BF2700">
      <w:r w:rsidRPr="00044A82">
        <w:rPr>
          <w:b/>
        </w:rPr>
        <w:t>Figure 3</w:t>
      </w:r>
      <w:r>
        <w:t>: Example comprehensive storage architecture for a FT system based on three storage enclosures with one LUN per disk group. This is typical of some FT 3.0 2-socket server reference architectures.</w:t>
      </w:r>
    </w:p>
    <w:p w14:paraId="2FAC88B0" w14:textId="77777777" w:rsidR="00BF2700" w:rsidRPr="00206020" w:rsidRDefault="00BF2700" w:rsidP="00BF2700">
      <w:pPr>
        <w:pStyle w:val="Heading4"/>
      </w:pPr>
      <w:bookmarkStart w:id="14" w:name="_Storage_Configuration_Details"/>
      <w:bookmarkEnd w:id="14"/>
      <w:r>
        <w:t>Storage Configuration Details</w:t>
      </w:r>
    </w:p>
    <w:p w14:paraId="09049D6F" w14:textId="77777777" w:rsidR="00BF2700" w:rsidRPr="00776613" w:rsidRDefault="00BF2700" w:rsidP="00BF2700">
      <w:r>
        <w:t xml:space="preserve">For </w:t>
      </w:r>
      <w:r w:rsidRPr="003A735C">
        <w:rPr>
          <w:b/>
        </w:rPr>
        <w:t>each</w:t>
      </w:r>
      <w:r>
        <w:t xml:space="preserve"> storage enclosure, do the following. </w:t>
      </w:r>
    </w:p>
    <w:p w14:paraId="11186878" w14:textId="77777777" w:rsidR="00BF2700" w:rsidRDefault="00BF2700" w:rsidP="00BF2700">
      <w:pPr>
        <w:pStyle w:val="ListParagraph"/>
        <w:numPr>
          <w:ilvl w:val="0"/>
          <w:numId w:val="31"/>
        </w:numPr>
      </w:pPr>
      <w:r>
        <w:t>Create Disk Groups of four disks each, using RAID 1+0 (RAID 10). The exact number of Disk Groups, per storage enclosure, can vary by vendor. Refer to vendor-specific documentation for details. In general, the number is (2) RAID10 and (1) RAID1 disk group for large form factor (LFF) enclosures and (5) RAID10 disk groups for small form factor (SFF) enclosures.</w:t>
      </w:r>
    </w:p>
    <w:p w14:paraId="706C7F75" w14:textId="77777777" w:rsidR="00BF2700" w:rsidRDefault="00BF2700" w:rsidP="00BF2700">
      <w:pPr>
        <w:pStyle w:val="ListParagraph"/>
        <w:numPr>
          <w:ilvl w:val="0"/>
          <w:numId w:val="31"/>
        </w:numPr>
      </w:pPr>
      <w:r>
        <w:t>All but one disk group will be dedicated to primary user data (PRI).</w:t>
      </w:r>
    </w:p>
    <w:p w14:paraId="0D62B0BB" w14:textId="77777777" w:rsidR="00BF2700" w:rsidRDefault="00BF2700" w:rsidP="00BF2700">
      <w:pPr>
        <w:pStyle w:val="ListParagraph"/>
        <w:numPr>
          <w:ilvl w:val="1"/>
          <w:numId w:val="31"/>
        </w:numPr>
      </w:pPr>
      <w:r>
        <w:lastRenderedPageBreak/>
        <w:t xml:space="preserve">.All Fast Track 3.0 RAs call for either one or two LUNs to be created per PRI disk group. Refer to vendor-specific guidance for your chosen RA. These LUNs will be used to store the SQL Server database files (.mdf and .ndf files). </w:t>
      </w:r>
    </w:p>
    <w:p w14:paraId="1E22A7EA" w14:textId="77777777" w:rsidR="00BF2700" w:rsidRDefault="00BF2700" w:rsidP="00BF2700">
      <w:pPr>
        <w:pStyle w:val="ListParagraph"/>
        <w:numPr>
          <w:ilvl w:val="1"/>
          <w:numId w:val="31"/>
        </w:numPr>
      </w:pPr>
      <w:r>
        <w:t xml:space="preserve">Ensure </w:t>
      </w:r>
      <w:r w:rsidR="002F3740">
        <w:t>that primary storage processor assignment for each disk volume allocated to primary data within a storage enclosure is evenly balanced. For example, a storage enclosure with four disk volumes allocated for primary data will have two volumes assigned to storage processor “A” and two assigned to storage processor “B”.</w:t>
      </w:r>
    </w:p>
    <w:p w14:paraId="32907567" w14:textId="77777777" w:rsidR="00BF2700" w:rsidRDefault="00BF2700" w:rsidP="00BF2700">
      <w:pPr>
        <w:pStyle w:val="ListParagraph"/>
        <w:numPr>
          <w:ilvl w:val="0"/>
          <w:numId w:val="31"/>
        </w:numPr>
      </w:pPr>
      <w:r>
        <w:t>Create one LUN on the remaining Disk Group to host the database transaction logs (LOG). For some larger Fast Track configurations LOG allocations are limited to only the first few storage enclosures in the system. In this case the additional disk groups are used for nondatabase staging or left unpopulated to reduce cost.</w:t>
      </w:r>
    </w:p>
    <w:p w14:paraId="6AF4CF80" w14:textId="77777777" w:rsidR="00BF2700" w:rsidRDefault="00BF2700" w:rsidP="00BF2700">
      <w:r>
        <w:t>For each database, do the following:</w:t>
      </w:r>
    </w:p>
    <w:p w14:paraId="4CC94E98" w14:textId="77777777" w:rsidR="00BF2700" w:rsidRDefault="00BF2700" w:rsidP="00BF2700">
      <w:pPr>
        <w:pStyle w:val="ListParagraph"/>
        <w:numPr>
          <w:ilvl w:val="0"/>
          <w:numId w:val="32"/>
        </w:numPr>
      </w:pPr>
      <w:r>
        <w:t>Create at least one filegroup containing one data file per PRI LUN. Be sure to make all the files the same size. If you plan to use multiple filegroups within a single database to segregate objects (for example, a staging database to support loading), be sure to include all PRI LUN as locations for each filegroup.</w:t>
      </w:r>
    </w:p>
    <w:p w14:paraId="61D9090A" w14:textId="77777777" w:rsidR="00BF2700" w:rsidRDefault="00BF2700" w:rsidP="00BF2700">
      <w:pPr>
        <w:pStyle w:val="ListParagraph"/>
        <w:numPr>
          <w:ilvl w:val="0"/>
          <w:numId w:val="32"/>
        </w:numPr>
      </w:pPr>
      <w:r>
        <w:t>When creating the files for each filegroup, pre</w:t>
      </w:r>
      <w:r w:rsidRPr="00430EA7">
        <w:t xml:space="preserve">allocate </w:t>
      </w:r>
      <w:r>
        <w:t>them</w:t>
      </w:r>
      <w:r w:rsidRPr="00430EA7">
        <w:t xml:space="preserve"> to their </w:t>
      </w:r>
      <w:r>
        <w:t>largest anticipated size</w:t>
      </w:r>
      <w:r w:rsidRPr="00430EA7">
        <w:t>, with a size large enough to hold th</w:t>
      </w:r>
      <w:r>
        <w:t xml:space="preserve">e anticipated objects. </w:t>
      </w:r>
    </w:p>
    <w:p w14:paraId="5E3CAD15" w14:textId="77777777" w:rsidR="00BF2700" w:rsidRDefault="00BF2700" w:rsidP="00BF2700">
      <w:pPr>
        <w:pStyle w:val="ListParagraph"/>
        <w:numPr>
          <w:ilvl w:val="0"/>
          <w:numId w:val="32"/>
        </w:numPr>
      </w:pPr>
      <w:r>
        <w:t>Disable the autogrow option for</w:t>
      </w:r>
      <w:r w:rsidRPr="00430EA7">
        <w:t xml:space="preserve"> data files</w:t>
      </w:r>
      <w:r>
        <w:t>,</w:t>
      </w:r>
      <w:r w:rsidRPr="00430EA7">
        <w:t xml:space="preserve"> and manually grow all data files when the current size limit is being approached. </w:t>
      </w:r>
    </w:p>
    <w:p w14:paraId="58C8E069" w14:textId="77777777" w:rsidR="00BF2700" w:rsidRDefault="00BF2700" w:rsidP="00BF2700">
      <w:pPr>
        <w:pStyle w:val="ListParagraph"/>
        <w:numPr>
          <w:ilvl w:val="0"/>
          <w:numId w:val="32"/>
        </w:numPr>
      </w:pPr>
      <w:r>
        <w:t xml:space="preserve">For more information about recommendations for user databases and filegroups, see the </w:t>
      </w:r>
      <w:r w:rsidRPr="00F1403B">
        <w:rPr>
          <w:color w:val="4F81BD" w:themeColor="accent1"/>
        </w:rPr>
        <w:t xml:space="preserve">Managing </w:t>
      </w:r>
      <w:r>
        <w:rPr>
          <w:color w:val="4F81BD" w:themeColor="accent1"/>
        </w:rPr>
        <w:t xml:space="preserve">Data </w:t>
      </w:r>
      <w:r w:rsidRPr="00F1403B">
        <w:rPr>
          <w:color w:val="4F81BD" w:themeColor="accent1"/>
        </w:rPr>
        <w:t>Fragmentation</w:t>
      </w:r>
      <w:r>
        <w:t xml:space="preserve"> section of this document.</w:t>
      </w:r>
    </w:p>
    <w:p w14:paraId="2D55F78F" w14:textId="77777777" w:rsidR="00BF2700" w:rsidRPr="007F3EAB" w:rsidRDefault="00BF2700" w:rsidP="00BF2700">
      <w:r>
        <w:t xml:space="preserve">For </w:t>
      </w:r>
      <w:r>
        <w:rPr>
          <w:b/>
        </w:rPr>
        <w:t>tempdb</w:t>
      </w:r>
      <w:r>
        <w:t>, do the following:</w:t>
      </w:r>
    </w:p>
    <w:p w14:paraId="5606F380" w14:textId="77777777" w:rsidR="00BF2700" w:rsidRDefault="00BF2700" w:rsidP="00BF2700">
      <w:pPr>
        <w:pStyle w:val="ListParagraph"/>
        <w:numPr>
          <w:ilvl w:val="0"/>
          <w:numId w:val="33"/>
        </w:numPr>
      </w:pPr>
      <w:r>
        <w:t>Preallocate</w:t>
      </w:r>
      <w:r>
        <w:rPr>
          <w:b/>
        </w:rPr>
        <w:t xml:space="preserve"> </w:t>
      </w:r>
      <w:r w:rsidRPr="003B32CF">
        <w:t>space</w:t>
      </w:r>
      <w:r>
        <w:t>, and add</w:t>
      </w:r>
      <w:r w:rsidRPr="00430EA7">
        <w:t xml:space="preserve"> a single data file per LUN. Be sure to make all files the same size.</w:t>
      </w:r>
    </w:p>
    <w:p w14:paraId="63B86B6F" w14:textId="77777777" w:rsidR="00BF2700" w:rsidRDefault="00BF2700" w:rsidP="00BF2700">
      <w:pPr>
        <w:pStyle w:val="ListParagraph"/>
        <w:numPr>
          <w:ilvl w:val="0"/>
          <w:numId w:val="33"/>
        </w:numPr>
      </w:pPr>
      <w:r>
        <w:t>Assign temp log files onto one of the LUNs dedicated to LOG files.</w:t>
      </w:r>
    </w:p>
    <w:p w14:paraId="34FE7DC8" w14:textId="77777777" w:rsidR="00BF2700" w:rsidRDefault="00BF2700" w:rsidP="00BF2700">
      <w:pPr>
        <w:pStyle w:val="ListParagraph"/>
        <w:numPr>
          <w:ilvl w:val="0"/>
          <w:numId w:val="33"/>
        </w:numPr>
      </w:pPr>
      <w:r>
        <w:t xml:space="preserve">Enable Autogrow; In general the use of a large growth increment is appropriate for DW workloads. A value equivalent to 10 percent of the initial file size is a reasonable starting point. </w:t>
      </w:r>
    </w:p>
    <w:p w14:paraId="222C302F" w14:textId="77777777" w:rsidR="00BF2700" w:rsidRDefault="00BF2700" w:rsidP="00BF2700">
      <w:pPr>
        <w:pStyle w:val="ListParagraph"/>
        <w:numPr>
          <w:ilvl w:val="0"/>
          <w:numId w:val="33"/>
        </w:numPr>
      </w:pPr>
      <w:r>
        <w:t xml:space="preserve">Follow standard SQL Server best practices for database and </w:t>
      </w:r>
      <w:r w:rsidRPr="007A6A71">
        <w:rPr>
          <w:b/>
        </w:rPr>
        <w:t>tempdb</w:t>
      </w:r>
      <w:r>
        <w:t xml:space="preserve"> sizing considerations. Greater space allocation may be required during the migration phase or during the initial data load of the warehouse. For more information, see </w:t>
      </w:r>
      <w:hyperlink r:id="rId26" w:history="1">
        <w:r w:rsidRPr="007F3EAB">
          <w:rPr>
            <w:rStyle w:val="Hyperlink"/>
          </w:rPr>
          <w:t>Capacity Planning for tempdb</w:t>
        </w:r>
      </w:hyperlink>
      <w:r>
        <w:t xml:space="preserve"> in SQL Server Books Online.</w:t>
      </w:r>
    </w:p>
    <w:p w14:paraId="14413C57" w14:textId="77777777" w:rsidR="00BF2700" w:rsidRDefault="00BF2700" w:rsidP="00BF2700">
      <w:r>
        <w:t>For the transaction log, do the following:</w:t>
      </w:r>
    </w:p>
    <w:p w14:paraId="25B4911A" w14:textId="77777777" w:rsidR="00BF2700" w:rsidRDefault="00BF2700" w:rsidP="00BF2700">
      <w:pPr>
        <w:pStyle w:val="ListParagraph"/>
        <w:numPr>
          <w:ilvl w:val="0"/>
          <w:numId w:val="34"/>
        </w:numPr>
      </w:pPr>
      <w:r w:rsidRPr="00776613">
        <w:t xml:space="preserve">Create a single transaction log </w:t>
      </w:r>
      <w:r>
        <w:t xml:space="preserve">file </w:t>
      </w:r>
      <w:r w:rsidRPr="00776613">
        <w:t>per data</w:t>
      </w:r>
      <w:r>
        <w:t xml:space="preserve">base on one of the LUNs assigned to the transaction log space. Spread log files for different databases across available LUNs or use multiple log files for log growth as required. </w:t>
      </w:r>
    </w:p>
    <w:p w14:paraId="1B2F4E77" w14:textId="77777777" w:rsidR="00BF2700" w:rsidRDefault="00BF2700" w:rsidP="00BF2700">
      <w:pPr>
        <w:pStyle w:val="ListParagraph"/>
        <w:numPr>
          <w:ilvl w:val="0"/>
          <w:numId w:val="34"/>
        </w:numPr>
      </w:pPr>
      <w:r>
        <w:t xml:space="preserve">Enable the autogrow option for log files. </w:t>
      </w:r>
    </w:p>
    <w:p w14:paraId="00E1F1AB" w14:textId="77777777" w:rsidR="00BF2700" w:rsidRDefault="00BF2700" w:rsidP="00BF2700">
      <w:pPr>
        <w:pStyle w:val="ListParagraph"/>
        <w:numPr>
          <w:ilvl w:val="0"/>
          <w:numId w:val="34"/>
        </w:numPr>
      </w:pPr>
      <w:r>
        <w:t>Refer to existing best practices for SQL Server transaction log allocation and management.</w:t>
      </w:r>
      <w:r w:rsidRPr="00776613">
        <w:t xml:space="preserve"> </w:t>
      </w:r>
    </w:p>
    <w:p w14:paraId="7700D6B4" w14:textId="77777777" w:rsidR="00BF2700" w:rsidRDefault="00BF2700" w:rsidP="00BF2700">
      <w:pPr>
        <w:pStyle w:val="Heading1"/>
      </w:pPr>
      <w:bookmarkStart w:id="15" w:name="_Toc284834172"/>
      <w:r>
        <w:lastRenderedPageBreak/>
        <w:t>SQL Server Best Practices for FTDW</w:t>
      </w:r>
      <w:bookmarkEnd w:id="15"/>
    </w:p>
    <w:p w14:paraId="7639B053" w14:textId="77777777" w:rsidR="00BF2700" w:rsidRPr="0097196C" w:rsidRDefault="00BF2700" w:rsidP="00BF2700">
      <w:r>
        <w:t>Practices for Fast Track workloads are validated and documented in two cases. The first occurs in the case that a Fast Track practice differs substantively from established SQL Server best practices. The second case occurs in scenarios where existing practices are missing or not easily accessible. The practices provided here are not intended to be comprehensive as there is a rich set of existing documentation for SQL Server database deployment. Existing SQL Server technical documentation and best practices should be referred to on numerous topics related to a FTDW deployment.</w:t>
      </w:r>
    </w:p>
    <w:p w14:paraId="1E2E4BFA" w14:textId="77777777" w:rsidR="00BF2700" w:rsidRDefault="00BF2700" w:rsidP="00BF2700">
      <w:pPr>
        <w:pStyle w:val="Heading2"/>
      </w:pPr>
      <w:bookmarkStart w:id="16" w:name="_Toc284834173"/>
      <w:r>
        <w:t>Data Architecture</w:t>
      </w:r>
      <w:bookmarkEnd w:id="16"/>
    </w:p>
    <w:p w14:paraId="712577FB" w14:textId="77777777" w:rsidR="00BF2700" w:rsidRDefault="00BF2700" w:rsidP="00BF2700">
      <w:pPr>
        <w:pStyle w:val="Heading3"/>
      </w:pPr>
      <w:r>
        <w:t>Table Structure</w:t>
      </w:r>
    </w:p>
    <w:p w14:paraId="4578C0EF" w14:textId="77777777" w:rsidR="00BF2700" w:rsidRPr="00776613" w:rsidRDefault="00BF2700" w:rsidP="00BF2700">
      <w:pPr>
        <w:rPr>
          <w:rFonts w:cs="Arial"/>
        </w:rPr>
      </w:pPr>
      <w:r w:rsidRPr="00776613">
        <w:rPr>
          <w:rFonts w:cs="Arial"/>
        </w:rPr>
        <w:t xml:space="preserve">The type of table that is used to store data in the database has a significant effect on the performance of sequential access. It is very important to design the physical schema with this in mind to allow the query plans to induce sequential </w:t>
      </w:r>
      <w:r>
        <w:rPr>
          <w:rFonts w:cs="Arial"/>
        </w:rPr>
        <w:t>I/O</w:t>
      </w:r>
      <w:r w:rsidRPr="00776613">
        <w:rPr>
          <w:rFonts w:cs="Arial"/>
        </w:rPr>
        <w:t xml:space="preserve"> as much as possible.</w:t>
      </w:r>
    </w:p>
    <w:p w14:paraId="448E6844" w14:textId="77777777" w:rsidR="00BF2700" w:rsidRPr="00776613" w:rsidRDefault="00BF2700" w:rsidP="00BF2700">
      <w:pPr>
        <w:rPr>
          <w:rFonts w:cs="Arial"/>
        </w:rPr>
      </w:pPr>
      <w:r w:rsidRPr="00776613">
        <w:rPr>
          <w:rFonts w:cs="Arial"/>
        </w:rPr>
        <w:t>There is a choice to be made with regard to the type of table that is used to store your data. The decision comes down to how the data in the table will be accesse</w:t>
      </w:r>
      <w:r>
        <w:rPr>
          <w:rFonts w:cs="Arial"/>
        </w:rPr>
        <w:t xml:space="preserve">d the majority of the time. The following </w:t>
      </w:r>
      <w:r w:rsidRPr="00776613">
        <w:rPr>
          <w:rFonts w:cs="Arial"/>
        </w:rPr>
        <w:t>decision tree can be used to help determine which type of table should be considered based on the details of the data being stored.</w:t>
      </w:r>
    </w:p>
    <w:p w14:paraId="2642D192" w14:textId="77777777" w:rsidR="00BF2700" w:rsidRPr="00776613" w:rsidRDefault="00BF2700" w:rsidP="00BF2700">
      <w:pPr>
        <w:pStyle w:val="Heading4"/>
      </w:pPr>
      <w:r>
        <w:t>Heap Tables</w:t>
      </w:r>
    </w:p>
    <w:p w14:paraId="6C6E91D9" w14:textId="77777777" w:rsidR="00BF2700" w:rsidRDefault="00BF2700" w:rsidP="00BF2700">
      <w:pPr>
        <w:rPr>
          <w:rFonts w:cs="Arial"/>
        </w:rPr>
      </w:pPr>
      <w:r>
        <w:rPr>
          <w:rFonts w:cs="Arial"/>
        </w:rPr>
        <w:t>Heap</w:t>
      </w:r>
      <w:r w:rsidRPr="00776613">
        <w:rPr>
          <w:rFonts w:cs="Arial"/>
        </w:rPr>
        <w:t xml:space="preserve"> tables provide clean sequential </w:t>
      </w:r>
      <w:r>
        <w:rPr>
          <w:rFonts w:cs="Arial"/>
        </w:rPr>
        <w:t>I/O</w:t>
      </w:r>
      <w:r w:rsidRPr="00776613">
        <w:rPr>
          <w:rFonts w:cs="Arial"/>
        </w:rPr>
        <w:t xml:space="preserve"> for table scans</w:t>
      </w:r>
      <w:r>
        <w:rPr>
          <w:rFonts w:cs="Arial"/>
        </w:rPr>
        <w:t xml:space="preserve"> and generally lower overhead with regards to table fragmentation. They </w:t>
      </w:r>
      <w:r w:rsidRPr="00776613">
        <w:rPr>
          <w:rFonts w:cs="Arial"/>
        </w:rPr>
        <w:t xml:space="preserve">do not </w:t>
      </w:r>
      <w:r>
        <w:rPr>
          <w:rFonts w:cs="Arial"/>
        </w:rPr>
        <w:t xml:space="preserve">inherently </w:t>
      </w:r>
      <w:r w:rsidRPr="00776613">
        <w:rPr>
          <w:rFonts w:cs="Arial"/>
        </w:rPr>
        <w:t xml:space="preserve">allow for </w:t>
      </w:r>
      <w:r>
        <w:rPr>
          <w:rFonts w:cs="Arial"/>
        </w:rPr>
        <w:t xml:space="preserve">optimized (direct-access) </w:t>
      </w:r>
      <w:r w:rsidRPr="00776613">
        <w:rPr>
          <w:rFonts w:cs="Arial"/>
        </w:rPr>
        <w:t>range based scans</w:t>
      </w:r>
      <w:r>
        <w:rPr>
          <w:rFonts w:cs="Arial"/>
        </w:rPr>
        <w:t xml:space="preserve"> as found with a clustered index table</w:t>
      </w:r>
      <w:r w:rsidRPr="00776613">
        <w:rPr>
          <w:rFonts w:cs="Arial"/>
        </w:rPr>
        <w:t>.</w:t>
      </w:r>
      <w:r>
        <w:rPr>
          <w:rFonts w:cs="Arial"/>
        </w:rPr>
        <w:t xml:space="preserve"> In a range scan situation, a heap table scans the entire table (or appropriate range partition, if partitioning is applied).</w:t>
      </w:r>
    </w:p>
    <w:p w14:paraId="68DE1A6E" w14:textId="77777777" w:rsidR="00BF2700" w:rsidRDefault="00BF2700" w:rsidP="00BF2700">
      <w:pPr>
        <w:rPr>
          <w:rFonts w:cs="Arial"/>
        </w:rPr>
      </w:pPr>
      <w:r>
        <w:rPr>
          <w:rFonts w:cs="Arial"/>
        </w:rPr>
        <w:t>S</w:t>
      </w:r>
      <w:r w:rsidRPr="009A3F06">
        <w:rPr>
          <w:rFonts w:cs="Arial"/>
        </w:rPr>
        <w:t>canning heap tables reaches maximum throughput at 32 files, so use of heaps f</w:t>
      </w:r>
      <w:r>
        <w:rPr>
          <w:rFonts w:cs="Arial"/>
        </w:rPr>
        <w:t xml:space="preserve">or large fact tables on systems with high LUN (more than 32) or core (more than 16) count may require the use of Resource Governor, DOP constraints, or changes to the standard Fast Track database file allocation. </w:t>
      </w:r>
    </w:p>
    <w:p w14:paraId="2BA8DDAE" w14:textId="77777777" w:rsidR="00BF2700" w:rsidRPr="00776613" w:rsidRDefault="00BF2700" w:rsidP="00BF2700">
      <w:pPr>
        <w:rPr>
          <w:rFonts w:cs="Arial"/>
        </w:rPr>
      </w:pPr>
      <w:r w:rsidRPr="00776613">
        <w:rPr>
          <w:rFonts w:cs="Arial"/>
        </w:rPr>
        <w:t xml:space="preserve"> It is best to use heap tables where:</w:t>
      </w:r>
    </w:p>
    <w:p w14:paraId="084D2F63" w14:textId="77777777" w:rsidR="00BF2700" w:rsidRPr="00776613" w:rsidRDefault="00BF2700" w:rsidP="00BF2700">
      <w:pPr>
        <w:numPr>
          <w:ilvl w:val="0"/>
          <w:numId w:val="2"/>
        </w:numPr>
        <w:rPr>
          <w:rFonts w:cs="Arial"/>
        </w:rPr>
      </w:pPr>
      <w:r>
        <w:rPr>
          <w:rFonts w:cs="Arial"/>
        </w:rPr>
        <w:t>The majority of high priority queries</w:t>
      </w:r>
      <w:r w:rsidRPr="00776613">
        <w:rPr>
          <w:rFonts w:cs="Arial"/>
        </w:rPr>
        <w:t xml:space="preserve"> against the table </w:t>
      </w:r>
      <w:r>
        <w:rPr>
          <w:rFonts w:cs="Arial"/>
        </w:rPr>
        <w:t>reference contain predicates that reference a variety of disparate columns or have no column predicates.</w:t>
      </w:r>
    </w:p>
    <w:p w14:paraId="141F8DE8" w14:textId="77777777" w:rsidR="00BF2700" w:rsidRDefault="00BF2700" w:rsidP="00BF2700">
      <w:pPr>
        <w:numPr>
          <w:ilvl w:val="0"/>
          <w:numId w:val="2"/>
        </w:numPr>
        <w:rPr>
          <w:rFonts w:cs="Arial"/>
        </w:rPr>
      </w:pPr>
      <w:r>
        <w:rPr>
          <w:rFonts w:cs="Arial"/>
        </w:rPr>
        <w:t>Q</w:t>
      </w:r>
      <w:r w:rsidRPr="00776613">
        <w:rPr>
          <w:rFonts w:cs="Arial"/>
        </w:rPr>
        <w:t xml:space="preserve">ueries normally </w:t>
      </w:r>
      <w:r>
        <w:rPr>
          <w:rFonts w:cs="Arial"/>
        </w:rPr>
        <w:t>perform</w:t>
      </w:r>
      <w:r w:rsidRPr="00776613">
        <w:rPr>
          <w:rFonts w:cs="Arial"/>
        </w:rPr>
        <w:t xml:space="preserve"> large scans as opposed to </w:t>
      </w:r>
      <w:r>
        <w:rPr>
          <w:rFonts w:cs="Arial"/>
        </w:rPr>
        <w:t>range-restricted scans</w:t>
      </w:r>
      <w:r w:rsidRPr="00776613">
        <w:rPr>
          <w:rFonts w:cs="Arial"/>
        </w:rPr>
        <w:t>, such as tables used exclusively to populate Analysis Services cubes.</w:t>
      </w:r>
      <w:r>
        <w:rPr>
          <w:rFonts w:cs="Arial"/>
        </w:rPr>
        <w:t xml:space="preserve"> (In such cases, the heap table should be partitioned with the same granularity as the Analysis Services cube being populated.)</w:t>
      </w:r>
    </w:p>
    <w:p w14:paraId="1993C5D1" w14:textId="77777777" w:rsidR="00BF2700" w:rsidRPr="00776613" w:rsidRDefault="00BF2700" w:rsidP="00BF2700">
      <w:pPr>
        <w:numPr>
          <w:ilvl w:val="0"/>
          <w:numId w:val="2"/>
        </w:numPr>
        <w:rPr>
          <w:rFonts w:cs="Arial"/>
        </w:rPr>
      </w:pPr>
      <w:r>
        <w:rPr>
          <w:rFonts w:cs="Arial"/>
        </w:rPr>
        <w:t>Query workload requirements are met without the incremental overhead of index management or load performance is of paramount importance – heap tables are faster to load.</w:t>
      </w:r>
    </w:p>
    <w:p w14:paraId="55188FCF" w14:textId="77777777" w:rsidR="00BF2700" w:rsidRPr="00776613" w:rsidRDefault="00BF2700" w:rsidP="00BF2700">
      <w:pPr>
        <w:pStyle w:val="Heading4"/>
      </w:pPr>
      <w:r w:rsidRPr="00776613">
        <w:lastRenderedPageBreak/>
        <w:t>Clustered Index Tables</w:t>
      </w:r>
    </w:p>
    <w:p w14:paraId="2A51CA79" w14:textId="77777777" w:rsidR="00BF2700" w:rsidRPr="00776613" w:rsidRDefault="00BF2700" w:rsidP="00BF2700">
      <w:pPr>
        <w:rPr>
          <w:rFonts w:cs="Arial"/>
        </w:rPr>
      </w:pPr>
      <w:r w:rsidRPr="00776613">
        <w:rPr>
          <w:rFonts w:cs="Arial"/>
        </w:rPr>
        <w:t xml:space="preserve">In the data warehouse environment, a clustered index is most effective when the key </w:t>
      </w:r>
      <w:r>
        <w:rPr>
          <w:rFonts w:cs="Arial"/>
        </w:rPr>
        <w:t>is a range-qualified column (such as date) that is frequently used in restrictions for the relevant query workload.</w:t>
      </w:r>
      <w:r w:rsidRPr="00776613">
        <w:rPr>
          <w:rFonts w:cs="Arial"/>
        </w:rPr>
        <w:t xml:space="preserve"> In this situation, the index can be used to substantially restrict</w:t>
      </w:r>
      <w:r>
        <w:rPr>
          <w:rFonts w:cs="Arial"/>
        </w:rPr>
        <w:t xml:space="preserve"> and optimize</w:t>
      </w:r>
      <w:r w:rsidRPr="00776613">
        <w:rPr>
          <w:rFonts w:cs="Arial"/>
        </w:rPr>
        <w:t xml:space="preserve"> the </w:t>
      </w:r>
      <w:r>
        <w:rPr>
          <w:rFonts w:cs="Arial"/>
        </w:rPr>
        <w:t xml:space="preserve">data </w:t>
      </w:r>
      <w:r w:rsidRPr="00776613">
        <w:rPr>
          <w:rFonts w:cs="Arial"/>
        </w:rPr>
        <w:t>to be scanned.</w:t>
      </w:r>
    </w:p>
    <w:p w14:paraId="1ED1485E" w14:textId="77777777" w:rsidR="00BF2700" w:rsidRPr="00776613" w:rsidRDefault="00BF2700" w:rsidP="00BF2700">
      <w:pPr>
        <w:rPr>
          <w:rFonts w:cs="Arial"/>
        </w:rPr>
      </w:pPr>
      <w:r w:rsidRPr="00776613">
        <w:rPr>
          <w:rFonts w:cs="Arial"/>
        </w:rPr>
        <w:t xml:space="preserve">It is best to use clustered index tables </w:t>
      </w:r>
      <w:r>
        <w:rPr>
          <w:rFonts w:cs="Arial"/>
        </w:rPr>
        <w:t>if</w:t>
      </w:r>
      <w:r w:rsidRPr="00776613">
        <w:rPr>
          <w:rFonts w:cs="Arial"/>
        </w:rPr>
        <w:t>:</w:t>
      </w:r>
    </w:p>
    <w:p w14:paraId="5DD211C4" w14:textId="77777777" w:rsidR="00BF2700" w:rsidRDefault="00BF2700" w:rsidP="00BF2700">
      <w:pPr>
        <w:numPr>
          <w:ilvl w:val="0"/>
          <w:numId w:val="3"/>
        </w:numPr>
        <w:rPr>
          <w:rFonts w:cs="Arial"/>
        </w:rPr>
      </w:pPr>
      <w:r>
        <w:rPr>
          <w:rFonts w:cs="Arial"/>
        </w:rPr>
        <w:t>There</w:t>
      </w:r>
      <w:r w:rsidRPr="00776613">
        <w:rPr>
          <w:rFonts w:cs="Arial"/>
        </w:rPr>
        <w:t xml:space="preserve"> are </w:t>
      </w:r>
      <w:r>
        <w:rPr>
          <w:rFonts w:cs="Arial"/>
        </w:rPr>
        <w:t xml:space="preserve">range-qualified </w:t>
      </w:r>
      <w:r w:rsidRPr="00776613">
        <w:rPr>
          <w:rFonts w:cs="Arial"/>
        </w:rPr>
        <w:t xml:space="preserve">columns in the </w:t>
      </w:r>
      <w:r>
        <w:rPr>
          <w:rFonts w:cs="Arial"/>
        </w:rPr>
        <w:t>table</w:t>
      </w:r>
      <w:r w:rsidRPr="00776613">
        <w:rPr>
          <w:rFonts w:cs="Arial"/>
        </w:rPr>
        <w:t xml:space="preserve"> that are used in query restrictions for the majority of the </w:t>
      </w:r>
      <w:r>
        <w:rPr>
          <w:rFonts w:cs="Arial"/>
        </w:rPr>
        <w:t xml:space="preserve">high-priority </w:t>
      </w:r>
      <w:r w:rsidRPr="00776613">
        <w:rPr>
          <w:rFonts w:cs="Arial"/>
        </w:rPr>
        <w:t>query workload scenarios against the table</w:t>
      </w:r>
      <w:r>
        <w:rPr>
          <w:rFonts w:cs="Arial"/>
        </w:rPr>
        <w:t xml:space="preserve">: </w:t>
      </w:r>
    </w:p>
    <w:p w14:paraId="5F008151" w14:textId="77777777" w:rsidR="00BF2700" w:rsidRDefault="00BF2700" w:rsidP="00BF2700">
      <w:pPr>
        <w:numPr>
          <w:ilvl w:val="1"/>
          <w:numId w:val="3"/>
        </w:numPr>
        <w:rPr>
          <w:rFonts w:cs="Arial"/>
        </w:rPr>
      </w:pPr>
      <w:r>
        <w:rPr>
          <w:rFonts w:cs="Arial"/>
        </w:rPr>
        <w:t>For FTDW configurations, the partitioned date column of a clustered index should also be the clustered index key.</w:t>
      </w:r>
    </w:p>
    <w:p w14:paraId="316DD698" w14:textId="77777777" w:rsidR="00BF2700" w:rsidRPr="000947D0" w:rsidRDefault="00BF2700" w:rsidP="00BF2700">
      <w:pPr>
        <w:numPr>
          <w:ilvl w:val="1"/>
          <w:numId w:val="3"/>
        </w:numPr>
        <w:rPr>
          <w:rFonts w:cs="Arial"/>
        </w:rPr>
      </w:pPr>
      <w:r>
        <w:rPr>
          <w:rFonts w:cs="Arial"/>
        </w:rPr>
        <w:t xml:space="preserve">Choosing a clustered index key that is not the date partition column for a clustered index table might be advantageous in some cases. However, this is likely to lead to fragmentation unless </w:t>
      </w:r>
      <w:r>
        <w:rPr>
          <w:rFonts w:cs="Arial"/>
          <w:i/>
        </w:rPr>
        <w:t>complete</w:t>
      </w:r>
      <w:r>
        <w:rPr>
          <w:rFonts w:cs="Arial"/>
        </w:rPr>
        <w:t xml:space="preserve"> partitions are loaded at a time, because new data that overlaps existing clustered index key ranges creates page splits.</w:t>
      </w:r>
    </w:p>
    <w:p w14:paraId="5DCE5AB6" w14:textId="77777777" w:rsidR="00BF2700" w:rsidRPr="00776613" w:rsidRDefault="00BF2700" w:rsidP="00BF2700">
      <w:pPr>
        <w:numPr>
          <w:ilvl w:val="0"/>
          <w:numId w:val="3"/>
        </w:numPr>
        <w:rPr>
          <w:rFonts w:cs="Arial"/>
        </w:rPr>
      </w:pPr>
      <w:r>
        <w:rPr>
          <w:rFonts w:cs="Arial"/>
        </w:rPr>
        <w:t>Queries against the table</w:t>
      </w:r>
      <w:r w:rsidRPr="00776613">
        <w:rPr>
          <w:rFonts w:cs="Arial"/>
        </w:rPr>
        <w:t xml:space="preserve"> normally do granular</w:t>
      </w:r>
      <w:r>
        <w:rPr>
          <w:rFonts w:cs="Arial"/>
        </w:rPr>
        <w:t xml:space="preserve"> or range constrained</w:t>
      </w:r>
      <w:r w:rsidRPr="00776613">
        <w:rPr>
          <w:rFonts w:cs="Arial"/>
        </w:rPr>
        <w:t xml:space="preserve"> lookups</w:t>
      </w:r>
      <w:r>
        <w:rPr>
          <w:rFonts w:cs="Arial"/>
        </w:rPr>
        <w:t>,</w:t>
      </w:r>
      <w:r w:rsidRPr="00776613">
        <w:rPr>
          <w:rFonts w:cs="Arial"/>
        </w:rPr>
        <w:t xml:space="preserve"> </w:t>
      </w:r>
      <w:r>
        <w:rPr>
          <w:rFonts w:cs="Arial"/>
        </w:rPr>
        <w:t>not full table or large multi-range</w:t>
      </w:r>
      <w:r w:rsidRPr="00776613">
        <w:rPr>
          <w:rFonts w:cs="Arial"/>
        </w:rPr>
        <w:t xml:space="preserve"> scans.</w:t>
      </w:r>
    </w:p>
    <w:p w14:paraId="507ADB9F" w14:textId="77777777" w:rsidR="00BF2700" w:rsidRPr="00776613" w:rsidRDefault="00BF2700" w:rsidP="00BF2700">
      <w:pPr>
        <w:pStyle w:val="Heading3"/>
      </w:pPr>
      <w:r w:rsidRPr="00776613">
        <w:t>Table Partitioning</w:t>
      </w:r>
    </w:p>
    <w:p w14:paraId="144844FF" w14:textId="77777777" w:rsidR="00BF2700" w:rsidRDefault="00BF2700" w:rsidP="00BF2700">
      <w:pPr>
        <w:rPr>
          <w:rFonts w:cs="Arial"/>
        </w:rPr>
      </w:pPr>
      <w:r>
        <w:rPr>
          <w:rFonts w:cs="Arial"/>
        </w:rPr>
        <w:t xml:space="preserve">Table partitioning provides an </w:t>
      </w:r>
      <w:r w:rsidRPr="00776613">
        <w:rPr>
          <w:rFonts w:cs="Arial"/>
        </w:rPr>
        <w:t>important benefit with regard to data management and minimizing fragmentation. Because table partitioning groups the table contents into discrete blocks of data</w:t>
      </w:r>
      <w:r>
        <w:rPr>
          <w:rFonts w:cs="Arial"/>
        </w:rPr>
        <w:t>,</w:t>
      </w:r>
      <w:r w:rsidRPr="00776613">
        <w:rPr>
          <w:rFonts w:cs="Arial"/>
        </w:rPr>
        <w:t xml:space="preserve"> it </w:t>
      </w:r>
      <w:r>
        <w:rPr>
          <w:rFonts w:cs="Arial"/>
        </w:rPr>
        <w:t>enables you to manage these</w:t>
      </w:r>
      <w:r w:rsidRPr="00776613">
        <w:rPr>
          <w:rFonts w:cs="Arial"/>
        </w:rPr>
        <w:t xml:space="preserve"> blocks as a whole. </w:t>
      </w:r>
      <w:r>
        <w:rPr>
          <w:rFonts w:cs="Arial"/>
        </w:rPr>
        <w:t>For example, u</w:t>
      </w:r>
      <w:r w:rsidRPr="00776613">
        <w:rPr>
          <w:rFonts w:cs="Arial"/>
        </w:rPr>
        <w:t>sing this technique to delete data from your database in blocks can help reduce fragmentation in your database</w:t>
      </w:r>
      <w:r>
        <w:rPr>
          <w:rFonts w:cs="Arial"/>
        </w:rPr>
        <w:t>.</w:t>
      </w:r>
      <w:r w:rsidRPr="00776613">
        <w:rPr>
          <w:rFonts w:cs="Arial"/>
        </w:rPr>
        <w:t xml:space="preserve"> </w:t>
      </w:r>
      <w:r>
        <w:rPr>
          <w:rFonts w:cs="Arial"/>
        </w:rPr>
        <w:t>In contrast,</w:t>
      </w:r>
      <w:r w:rsidRPr="00776613">
        <w:rPr>
          <w:rFonts w:cs="Arial"/>
        </w:rPr>
        <w:t xml:space="preserve"> </w:t>
      </w:r>
      <w:r>
        <w:rPr>
          <w:rFonts w:cs="Arial"/>
        </w:rPr>
        <w:t>deleting row by row</w:t>
      </w:r>
      <w:r w:rsidRPr="00776613">
        <w:rPr>
          <w:rFonts w:cs="Arial"/>
        </w:rPr>
        <w:t xml:space="preserve"> induce</w:t>
      </w:r>
      <w:r>
        <w:rPr>
          <w:rFonts w:cs="Arial"/>
        </w:rPr>
        <w:t>s</w:t>
      </w:r>
      <w:r w:rsidRPr="00776613">
        <w:rPr>
          <w:rFonts w:cs="Arial"/>
        </w:rPr>
        <w:t xml:space="preserve"> fragmentation and may not even be feasible for large tables.</w:t>
      </w:r>
    </w:p>
    <w:p w14:paraId="338BA322" w14:textId="77777777" w:rsidR="00BF2700" w:rsidRDefault="00BF2700" w:rsidP="00BF2700">
      <w:pPr>
        <w:rPr>
          <w:rFonts w:cs="Arial"/>
        </w:rPr>
      </w:pPr>
      <w:r>
        <w:rPr>
          <w:rFonts w:cs="Arial"/>
        </w:rPr>
        <w:t>In addition, large tables that are used primarily for populating SQL Server Analysis Services cubes can be created as partitioned heap tables, with the table partitioning aligned with the cube’s partitioning. When accessed, only the relevant partitions of the large table will be scanned. (Partitions that support Analysis Services ROLAP mode may be better structured as clustered indexes.)</w:t>
      </w:r>
    </w:p>
    <w:p w14:paraId="0EFE278C" w14:textId="77777777" w:rsidR="00BF2700" w:rsidRPr="00A32A46" w:rsidRDefault="00BF2700" w:rsidP="00BF2700">
      <w:pPr>
        <w:rPr>
          <w:rFonts w:cs="Arial"/>
        </w:rPr>
      </w:pPr>
      <w:r>
        <w:rPr>
          <w:rFonts w:cs="Arial"/>
        </w:rPr>
        <w:t xml:space="preserve">For more information about table partitioning, see </w:t>
      </w:r>
      <w:hyperlink r:id="rId27" w:history="1">
        <w:r>
          <w:rPr>
            <w:rStyle w:val="Hyperlink"/>
          </w:rPr>
          <w:t>SQL Server Partitioning</w:t>
        </w:r>
      </w:hyperlink>
      <w:r>
        <w:t>.</w:t>
      </w:r>
    </w:p>
    <w:p w14:paraId="473FD151" w14:textId="77777777" w:rsidR="00BF2700" w:rsidRPr="00776613" w:rsidRDefault="00BF2700" w:rsidP="00BF2700">
      <w:pPr>
        <w:pStyle w:val="Heading2"/>
      </w:pPr>
      <w:bookmarkStart w:id="17" w:name="_Toc284834174"/>
      <w:r w:rsidRPr="00776613">
        <w:t>Indexing</w:t>
      </w:r>
      <w:bookmarkEnd w:id="17"/>
    </w:p>
    <w:p w14:paraId="764DF7C0" w14:textId="77777777" w:rsidR="00BF2700" w:rsidRPr="002128DD" w:rsidRDefault="00BF2700" w:rsidP="00BF2700">
      <w:pPr>
        <w:rPr>
          <w:rFonts w:cs="Arial"/>
        </w:rPr>
      </w:pPr>
      <w:r>
        <w:rPr>
          <w:rFonts w:cs="Arial"/>
        </w:rPr>
        <w:t>The following guidelines for FTDW index creation are recommended for FTDW systems</w:t>
      </w:r>
      <w:r w:rsidRPr="002128DD">
        <w:rPr>
          <w:rFonts w:cs="Arial"/>
        </w:rPr>
        <w:t>:</w:t>
      </w:r>
    </w:p>
    <w:p w14:paraId="28266D19" w14:textId="77777777" w:rsidR="00BF2700" w:rsidRPr="002128DD" w:rsidRDefault="00BF2700" w:rsidP="00BF2700">
      <w:pPr>
        <w:numPr>
          <w:ilvl w:val="0"/>
          <w:numId w:val="4"/>
        </w:numPr>
        <w:rPr>
          <w:rFonts w:cs="Arial"/>
        </w:rPr>
      </w:pPr>
      <w:r w:rsidRPr="002128DD">
        <w:rPr>
          <w:rFonts w:cs="Arial"/>
        </w:rPr>
        <w:t xml:space="preserve">Use a clustered index for date ranges or common restrictions. </w:t>
      </w:r>
    </w:p>
    <w:p w14:paraId="653424BB" w14:textId="77777777" w:rsidR="00BF2700" w:rsidRPr="002128DD" w:rsidRDefault="00BF2700" w:rsidP="00BF2700">
      <w:pPr>
        <w:numPr>
          <w:ilvl w:val="0"/>
          <w:numId w:val="4"/>
        </w:numPr>
        <w:rPr>
          <w:rFonts w:cs="Arial"/>
        </w:rPr>
      </w:pPr>
      <w:r>
        <w:rPr>
          <w:rFonts w:cs="Arial"/>
        </w:rPr>
        <w:t>Reserve non</w:t>
      </w:r>
      <w:r w:rsidRPr="002128DD">
        <w:rPr>
          <w:rFonts w:cs="Arial"/>
        </w:rPr>
        <w:t>clustered index</w:t>
      </w:r>
      <w:r>
        <w:rPr>
          <w:rFonts w:cs="Arial"/>
        </w:rPr>
        <w:t>ing</w:t>
      </w:r>
      <w:r w:rsidRPr="002128DD">
        <w:rPr>
          <w:rFonts w:cs="Arial"/>
        </w:rPr>
        <w:t xml:space="preserve"> </w:t>
      </w:r>
      <w:r>
        <w:rPr>
          <w:rFonts w:cs="Arial"/>
        </w:rPr>
        <w:t>for</w:t>
      </w:r>
      <w:r w:rsidRPr="002128DD">
        <w:rPr>
          <w:rFonts w:cs="Arial"/>
        </w:rPr>
        <w:t xml:space="preserve"> tables where query restriction</w:t>
      </w:r>
      <w:r>
        <w:rPr>
          <w:rFonts w:cs="Arial"/>
        </w:rPr>
        <w:t xml:space="preserve"> or granular lookup is required and table partitioning does not provide sufficient performance.</w:t>
      </w:r>
    </w:p>
    <w:p w14:paraId="1C72132C" w14:textId="77777777" w:rsidR="00BF2700" w:rsidRDefault="00BF2700" w:rsidP="00BF2700">
      <w:pPr>
        <w:numPr>
          <w:ilvl w:val="0"/>
          <w:numId w:val="4"/>
        </w:numPr>
        <w:rPr>
          <w:rFonts w:cs="Arial"/>
        </w:rPr>
      </w:pPr>
      <w:r>
        <w:rPr>
          <w:rFonts w:cs="Arial"/>
        </w:rPr>
        <w:t>Limit the use of non</w:t>
      </w:r>
      <w:r w:rsidRPr="002128DD">
        <w:rPr>
          <w:rFonts w:cs="Arial"/>
        </w:rPr>
        <w:t>clustered indexes to situations where the number of rows searched for in the average query is very low compared to overall table size.</w:t>
      </w:r>
    </w:p>
    <w:p w14:paraId="5F562E6A" w14:textId="77777777" w:rsidR="00BF2700" w:rsidRPr="002128DD" w:rsidRDefault="00BF2700" w:rsidP="00BF2700">
      <w:pPr>
        <w:numPr>
          <w:ilvl w:val="0"/>
          <w:numId w:val="4"/>
        </w:numPr>
        <w:rPr>
          <w:rFonts w:cs="Arial"/>
        </w:rPr>
      </w:pPr>
      <w:r>
        <w:rPr>
          <w:rFonts w:cs="Arial"/>
        </w:rPr>
        <w:lastRenderedPageBreak/>
        <w:t>Nonclustered, covering indexes may provide value for some data warehouse workloads. These should be evaluated on a case-by-case basis.</w:t>
      </w:r>
    </w:p>
    <w:p w14:paraId="083F7187" w14:textId="77777777" w:rsidR="00BF2700" w:rsidRPr="00776613" w:rsidRDefault="00BF2700" w:rsidP="00BF2700">
      <w:pPr>
        <w:pStyle w:val="Heading3"/>
      </w:pPr>
      <w:r w:rsidRPr="00776613">
        <w:t>Database Statistics</w:t>
      </w:r>
    </w:p>
    <w:p w14:paraId="04F2F36E" w14:textId="77777777" w:rsidR="00BF2700" w:rsidRDefault="00BF2700" w:rsidP="00BF2700">
      <w:pPr>
        <w:rPr>
          <w:rFonts w:cs="Arial"/>
        </w:rPr>
      </w:pPr>
      <w:r w:rsidRPr="00043DA5">
        <w:rPr>
          <w:rFonts w:cs="Arial"/>
        </w:rPr>
        <w:t xml:space="preserve">When to run statistics and how often to update them is not dependent on any single factor. </w:t>
      </w:r>
      <w:r>
        <w:rPr>
          <w:rFonts w:cs="Arial"/>
        </w:rPr>
        <w:t>The a</w:t>
      </w:r>
      <w:r w:rsidRPr="00043DA5">
        <w:rPr>
          <w:rFonts w:cs="Arial"/>
        </w:rPr>
        <w:t>vailable maintenance window and overall lack of system performance are typically the two main reasons where database statistics issues are addressed.</w:t>
      </w:r>
      <w:r w:rsidRPr="00776613">
        <w:rPr>
          <w:rFonts w:cs="Arial"/>
        </w:rPr>
        <w:t xml:space="preserve"> </w:t>
      </w:r>
    </w:p>
    <w:p w14:paraId="77717CF4" w14:textId="77777777" w:rsidR="00BF2700" w:rsidRPr="00A32A46" w:rsidRDefault="00BF2700" w:rsidP="00BF2700">
      <w:pPr>
        <w:rPr>
          <w:rFonts w:cs="Arial"/>
        </w:rPr>
      </w:pPr>
      <w:r>
        <w:rPr>
          <w:rFonts w:cs="Arial"/>
        </w:rPr>
        <w:t xml:space="preserve">For more information, see </w:t>
      </w:r>
      <w:hyperlink r:id="rId28" w:history="1">
        <w:r>
          <w:rPr>
            <w:rStyle w:val="Hyperlink"/>
          </w:rPr>
          <w:t>Statistics for SQL Server 2008</w:t>
        </w:r>
      </w:hyperlink>
      <w:r>
        <w:t>.</w:t>
      </w:r>
    </w:p>
    <w:p w14:paraId="57D38D1B" w14:textId="77777777" w:rsidR="00BF2700" w:rsidRDefault="00BF2700" w:rsidP="00BF2700">
      <w:pPr>
        <w:pStyle w:val="Heading4"/>
      </w:pPr>
      <w:r>
        <w:t>Best Practices</w:t>
      </w:r>
    </w:p>
    <w:p w14:paraId="69D9375F" w14:textId="77777777" w:rsidR="00BF2700" w:rsidRDefault="00BF2700" w:rsidP="00BF2700">
      <w:pPr>
        <w:rPr>
          <w:rFonts w:cs="Arial"/>
        </w:rPr>
      </w:pPr>
      <w:r>
        <w:rPr>
          <w:rFonts w:cs="Arial"/>
        </w:rPr>
        <w:t>We recommend the following</w:t>
      </w:r>
      <w:r w:rsidRPr="00776613">
        <w:rPr>
          <w:rFonts w:cs="Arial"/>
        </w:rPr>
        <w:t xml:space="preserve"> best practices for </w:t>
      </w:r>
      <w:r>
        <w:rPr>
          <w:rFonts w:cs="Arial"/>
        </w:rPr>
        <w:t>database statistics</w:t>
      </w:r>
      <w:r w:rsidRPr="002128DD">
        <w:rPr>
          <w:rFonts w:cs="Arial"/>
        </w:rPr>
        <w:t>:</w:t>
      </w:r>
    </w:p>
    <w:p w14:paraId="4D2E2D4C" w14:textId="77777777" w:rsidR="00BF2700" w:rsidRDefault="00BF2700" w:rsidP="00BF2700">
      <w:pPr>
        <w:numPr>
          <w:ilvl w:val="0"/>
          <w:numId w:val="1"/>
        </w:numPr>
        <w:rPr>
          <w:rFonts w:cs="Arial"/>
        </w:rPr>
      </w:pPr>
      <w:r>
        <w:rPr>
          <w:rFonts w:cs="Arial"/>
        </w:rPr>
        <w:t xml:space="preserve">Use the AUTO CREATE and AUTO UPDATE (sync or async) options for statistics (the system default in SQL Server). Use of this technique will minimize the need to run statistics manually. </w:t>
      </w:r>
    </w:p>
    <w:p w14:paraId="7F8CAB20" w14:textId="77777777" w:rsidR="00BF2700" w:rsidRPr="00776613" w:rsidRDefault="00BF2700" w:rsidP="00BF2700">
      <w:pPr>
        <w:numPr>
          <w:ilvl w:val="0"/>
          <w:numId w:val="1"/>
        </w:numPr>
        <w:rPr>
          <w:rFonts w:cs="Arial"/>
        </w:rPr>
      </w:pPr>
      <w:r>
        <w:rPr>
          <w:rFonts w:cs="Arial"/>
        </w:rPr>
        <w:t xml:space="preserve">If you must gather statistics manually, </w:t>
      </w:r>
      <w:r w:rsidRPr="00776613">
        <w:rPr>
          <w:rFonts w:cs="Arial"/>
        </w:rPr>
        <w:t xml:space="preserve">statistics </w:t>
      </w:r>
      <w:r>
        <w:rPr>
          <w:rFonts w:cs="Arial"/>
        </w:rPr>
        <w:t xml:space="preserve">ideally </w:t>
      </w:r>
      <w:r w:rsidRPr="00776613">
        <w:rPr>
          <w:rFonts w:cs="Arial"/>
        </w:rPr>
        <w:t>should be gathered on all columns in a table. If it is not possible to run statistic</w:t>
      </w:r>
      <w:r>
        <w:rPr>
          <w:rFonts w:cs="Arial"/>
        </w:rPr>
        <w:t>s</w:t>
      </w:r>
      <w:r w:rsidRPr="00776613">
        <w:rPr>
          <w:rFonts w:cs="Arial"/>
        </w:rPr>
        <w:t xml:space="preserve"> for all columns</w:t>
      </w:r>
      <w:r>
        <w:rPr>
          <w:rFonts w:cs="Arial"/>
        </w:rPr>
        <w:t>,</w:t>
      </w:r>
      <w:r w:rsidRPr="00776613">
        <w:rPr>
          <w:rFonts w:cs="Arial"/>
        </w:rPr>
        <w:t xml:space="preserve"> you should </w:t>
      </w:r>
      <w:r>
        <w:rPr>
          <w:rFonts w:cs="Arial"/>
        </w:rPr>
        <w:t xml:space="preserve">at least </w:t>
      </w:r>
      <w:r w:rsidRPr="00776613">
        <w:rPr>
          <w:rFonts w:cs="Arial"/>
        </w:rPr>
        <w:t>gather statistics on all columns that are used in a WHERE or HAVING clause</w:t>
      </w:r>
      <w:r>
        <w:rPr>
          <w:rFonts w:cs="Arial"/>
        </w:rPr>
        <w:t xml:space="preserve"> and on join keys. Index creation builds statistics on the index key, so you don’t have to do that explicitly.</w:t>
      </w:r>
    </w:p>
    <w:p w14:paraId="528DE7C1" w14:textId="77777777" w:rsidR="00BF2700" w:rsidRDefault="00BF2700" w:rsidP="00BF2700">
      <w:pPr>
        <w:numPr>
          <w:ilvl w:val="0"/>
          <w:numId w:val="1"/>
        </w:numPr>
        <w:rPr>
          <w:rFonts w:cs="Arial"/>
        </w:rPr>
      </w:pPr>
      <w:r>
        <w:rPr>
          <w:rFonts w:cs="Arial"/>
        </w:rPr>
        <w:t>Composite (multicolumn) statistics are critical for many join scenarios. Fact-dimension joins that involve composite join keys may induce suboptimal nested loop optimization plans in the absence of composite statistics. Auto-statistics will not create, refresh, or replace composite statistics.</w:t>
      </w:r>
    </w:p>
    <w:p w14:paraId="2900BE24" w14:textId="77777777" w:rsidR="00BF2700" w:rsidRPr="00776613" w:rsidRDefault="00BF2700" w:rsidP="00BF2700">
      <w:pPr>
        <w:numPr>
          <w:ilvl w:val="0"/>
          <w:numId w:val="1"/>
        </w:numPr>
        <w:rPr>
          <w:rFonts w:cs="Arial"/>
        </w:rPr>
      </w:pPr>
      <w:r>
        <w:rPr>
          <w:rFonts w:cs="Arial"/>
        </w:rPr>
        <w:t>S</w:t>
      </w:r>
      <w:r w:rsidRPr="00776613">
        <w:rPr>
          <w:rFonts w:cs="Arial"/>
        </w:rPr>
        <w:t xml:space="preserve">tatistics </w:t>
      </w:r>
      <w:r>
        <w:rPr>
          <w:rFonts w:cs="Arial"/>
        </w:rPr>
        <w:t>that involve</w:t>
      </w:r>
      <w:r w:rsidRPr="00776613">
        <w:rPr>
          <w:rFonts w:cs="Arial"/>
        </w:rPr>
        <w:t xml:space="preserve"> an increasing key value (such as a </w:t>
      </w:r>
      <w:r>
        <w:rPr>
          <w:rFonts w:cs="Arial"/>
        </w:rPr>
        <w:t>d</w:t>
      </w:r>
      <w:r w:rsidRPr="00776613">
        <w:rPr>
          <w:rFonts w:cs="Arial"/>
        </w:rPr>
        <w:t xml:space="preserve">ate on a fact table) should be updated manually after each incremental load operation. In all other cases, statistics can be updated </w:t>
      </w:r>
      <w:r>
        <w:rPr>
          <w:rFonts w:cs="Arial"/>
        </w:rPr>
        <w:t>less frequently. If you determine that the AUTO_UPDATE_STATISTICS option is not sufficient for you,</w:t>
      </w:r>
      <w:r w:rsidRPr="00776613">
        <w:rPr>
          <w:rFonts w:cs="Arial"/>
        </w:rPr>
        <w:t xml:space="preserve"> </w:t>
      </w:r>
      <w:r>
        <w:rPr>
          <w:rFonts w:cs="Arial"/>
        </w:rPr>
        <w:t xml:space="preserve">run statistics </w:t>
      </w:r>
      <w:r w:rsidRPr="00776613">
        <w:rPr>
          <w:rFonts w:cs="Arial"/>
        </w:rPr>
        <w:t>on a scheduled basis</w:t>
      </w:r>
      <w:r>
        <w:rPr>
          <w:rFonts w:cs="Arial"/>
        </w:rPr>
        <w:t>.</w:t>
      </w:r>
    </w:p>
    <w:p w14:paraId="1C8B3B8E" w14:textId="77777777" w:rsidR="00BF2700" w:rsidRDefault="00BF2700" w:rsidP="00BF2700">
      <w:pPr>
        <w:pStyle w:val="Heading3"/>
      </w:pPr>
      <w:r>
        <w:t>Compression</w:t>
      </w:r>
    </w:p>
    <w:p w14:paraId="24786D36" w14:textId="77777777" w:rsidR="00BF2700" w:rsidRPr="00AE2EB7" w:rsidRDefault="00BF2700" w:rsidP="00BF2700">
      <w:r>
        <w:t xml:space="preserve">The Fast Track data warehouse configurations are designed with page compression enabled. It is </w:t>
      </w:r>
      <w:r w:rsidRPr="001D5242">
        <w:t xml:space="preserve">highly recommended that you use </w:t>
      </w:r>
      <w:r>
        <w:t>page</w:t>
      </w:r>
      <w:r w:rsidRPr="001D5242">
        <w:t xml:space="preserve"> compression on all fact tables. </w:t>
      </w:r>
      <w:r>
        <w:t>Compression of small dimension tables (that is, those with less than a million rows) is optional. With larger dimension tables it is often beneficial to use page compression. In either case, compression of dimension tables should be evaluated on a use case basis. Row compression is an additional option that provides reasonable compression rates for certain types of data.</w:t>
      </w:r>
    </w:p>
    <w:p w14:paraId="3B02740E" w14:textId="77777777" w:rsidR="00BF2700" w:rsidRDefault="00BF2700" w:rsidP="00BF2700">
      <w:r w:rsidRPr="001D5242">
        <w:t>SQL Server 2008 compression shrinks data in tables, indexes</w:t>
      </w:r>
      <w:r>
        <w:t>,</w:t>
      </w:r>
      <w:r w:rsidRPr="001D5242">
        <w:t xml:space="preserve"> and partitions</w:t>
      </w:r>
      <w:r>
        <w:t xml:space="preserve">. This </w:t>
      </w:r>
      <w:r w:rsidRPr="001D5242">
        <w:t>reduces the amount of physi</w:t>
      </w:r>
      <w:r>
        <w:t xml:space="preserve">cal space required to store user tables which enables more </w:t>
      </w:r>
      <w:r w:rsidRPr="001D5242">
        <w:t>data to fit into</w:t>
      </w:r>
      <w:r>
        <w:t xml:space="preserve"> the SQL Server buffer pool (memory). One benefit of this is in a reduction of the number of I/O requests serviced from physical storage</w:t>
      </w:r>
      <w:r w:rsidRPr="001D5242">
        <w:t xml:space="preserve">. </w:t>
      </w:r>
    </w:p>
    <w:p w14:paraId="682B02D8" w14:textId="77777777" w:rsidR="00BF2700" w:rsidRDefault="00BF2700" w:rsidP="00BF2700">
      <w:r w:rsidRPr="001D5242">
        <w:lastRenderedPageBreak/>
        <w:t>The amount of actual compression that can be realized varies relative to the data that is being stored and the frequency of duplicate data fields within the data. If your data is highly random</w:t>
      </w:r>
      <w:r>
        <w:t>,</w:t>
      </w:r>
      <w:r w:rsidRPr="001D5242">
        <w:t xml:space="preserve"> the benefits of compression </w:t>
      </w:r>
      <w:r>
        <w:t>are</w:t>
      </w:r>
      <w:r w:rsidRPr="001D5242">
        <w:t xml:space="preserve"> very limited. </w:t>
      </w:r>
      <w:r>
        <w:t>Even u</w:t>
      </w:r>
      <w:r w:rsidRPr="001D5242">
        <w:t>nder the best conditions</w:t>
      </w:r>
      <w:r>
        <w:t>,</w:t>
      </w:r>
      <w:r w:rsidRPr="001D5242">
        <w:t xml:space="preserve"> the use of compression increase</w:t>
      </w:r>
      <w:r>
        <w:t>s</w:t>
      </w:r>
      <w:r w:rsidRPr="001D5242">
        <w:t xml:space="preserve"> demand on the CPU to compress</w:t>
      </w:r>
      <w:r>
        <w:t xml:space="preserve"> and </w:t>
      </w:r>
      <w:r w:rsidRPr="001D5242">
        <w:t>decompress the data</w:t>
      </w:r>
      <w:r>
        <w:t>,</w:t>
      </w:r>
      <w:r w:rsidRPr="001D5242">
        <w:t xml:space="preserve"> but it </w:t>
      </w:r>
      <w:r>
        <w:t xml:space="preserve">also </w:t>
      </w:r>
      <w:r w:rsidRPr="001D5242">
        <w:t>reduce</w:t>
      </w:r>
      <w:r>
        <w:t>s</w:t>
      </w:r>
      <w:r w:rsidRPr="001D5242">
        <w:t xml:space="preserve"> physical disk space requirements and under most circumstances improve</w:t>
      </w:r>
      <w:r>
        <w:t>s</w:t>
      </w:r>
      <w:r w:rsidRPr="001D5242">
        <w:t xml:space="preserve"> query response tim</w:t>
      </w:r>
      <w:r>
        <w:t>e by servicing I/O requests from memory buffer</w:t>
      </w:r>
      <w:r w:rsidRPr="001D5242">
        <w:t>.</w:t>
      </w:r>
      <w:r>
        <w:t xml:space="preserve"> Usually, page compression has a compression ratio (original size/compressed size) of between 2 and 7:1, with 3:1 being a typical conservative estimate. Your results will vary depending on the characteristics of your data.</w:t>
      </w:r>
    </w:p>
    <w:p w14:paraId="5518F66E" w14:textId="77777777" w:rsidR="00BF2700" w:rsidRDefault="00BF2700" w:rsidP="00BF2700">
      <w:pPr>
        <w:pStyle w:val="Heading2"/>
      </w:pPr>
      <w:bookmarkStart w:id="18" w:name="_Toc284834175"/>
      <w:r>
        <w:t>Managing Data Fragmentation</w:t>
      </w:r>
      <w:bookmarkEnd w:id="18"/>
    </w:p>
    <w:p w14:paraId="39B2AB42" w14:textId="77777777" w:rsidR="00BF2700" w:rsidRPr="00776613" w:rsidRDefault="00BF2700" w:rsidP="00BF2700">
      <w:pPr>
        <w:rPr>
          <w:rFonts w:cs="Arial"/>
        </w:rPr>
      </w:pPr>
      <w:r w:rsidRPr="00776613">
        <w:rPr>
          <w:rFonts w:cs="Arial"/>
        </w:rPr>
        <w:t xml:space="preserve">Fragmentation can happen at several levels, all of which must be controlled to preserve sequential </w:t>
      </w:r>
      <w:r>
        <w:rPr>
          <w:rFonts w:cs="Arial"/>
        </w:rPr>
        <w:t>I/O</w:t>
      </w:r>
      <w:r w:rsidRPr="00776613">
        <w:rPr>
          <w:rFonts w:cs="Arial"/>
        </w:rPr>
        <w:t xml:space="preserve">. </w:t>
      </w:r>
      <w:r>
        <w:rPr>
          <w:rFonts w:cs="Arial"/>
        </w:rPr>
        <w:t>A key goal of a Fast Track Data Warehouse is to</w:t>
      </w:r>
      <w:r w:rsidRPr="00776613">
        <w:rPr>
          <w:rFonts w:cs="Arial"/>
        </w:rPr>
        <w:t xml:space="preserve"> keep your data as sequentially ordered as possible </w:t>
      </w:r>
      <w:r>
        <w:rPr>
          <w:rFonts w:cs="Arial"/>
        </w:rPr>
        <w:t>while</w:t>
      </w:r>
      <w:r w:rsidRPr="00776613">
        <w:rPr>
          <w:rFonts w:cs="Arial"/>
        </w:rPr>
        <w:t xml:space="preserve"> limiting underlying fragmentation. If fragmentation is allowed to occur</w:t>
      </w:r>
      <w:r>
        <w:rPr>
          <w:rFonts w:cs="Arial"/>
        </w:rPr>
        <w:t>,</w:t>
      </w:r>
      <w:r w:rsidRPr="00776613">
        <w:rPr>
          <w:rFonts w:cs="Arial"/>
        </w:rPr>
        <w:t xml:space="preserve"> overall system perf</w:t>
      </w:r>
      <w:r>
        <w:rPr>
          <w:rFonts w:cs="Arial"/>
        </w:rPr>
        <w:t>ormance suffers</w:t>
      </w:r>
      <w:r w:rsidRPr="00776613">
        <w:rPr>
          <w:rFonts w:cs="Arial"/>
        </w:rPr>
        <w:t xml:space="preserve">. </w:t>
      </w:r>
    </w:p>
    <w:p w14:paraId="1660DFE4" w14:textId="77777777" w:rsidR="00BF2700" w:rsidRPr="00776613" w:rsidRDefault="00BF2700" w:rsidP="00BF2700">
      <w:pPr>
        <w:rPr>
          <w:rFonts w:cs="Arial"/>
        </w:rPr>
      </w:pPr>
      <w:r w:rsidRPr="00776613">
        <w:rPr>
          <w:rFonts w:cs="Arial"/>
        </w:rPr>
        <w:t xml:space="preserve">Periodic defragmentation </w:t>
      </w:r>
      <w:r>
        <w:rPr>
          <w:rFonts w:cs="Arial"/>
        </w:rPr>
        <w:t>is</w:t>
      </w:r>
      <w:r w:rsidRPr="00776613">
        <w:rPr>
          <w:rFonts w:cs="Arial"/>
        </w:rPr>
        <w:t xml:space="preserve"> necessary, but</w:t>
      </w:r>
      <w:r w:rsidRPr="00DE379C">
        <w:rPr>
          <w:rFonts w:cs="Arial"/>
        </w:rPr>
        <w:t xml:space="preserve"> </w:t>
      </w:r>
      <w:r>
        <w:rPr>
          <w:rFonts w:cs="Arial"/>
        </w:rPr>
        <w:t>the following</w:t>
      </w:r>
      <w:r w:rsidRPr="00776613">
        <w:rPr>
          <w:rFonts w:cs="Arial"/>
        </w:rPr>
        <w:t xml:space="preserve"> </w:t>
      </w:r>
      <w:r w:rsidRPr="00F5583D">
        <w:rPr>
          <w:rFonts w:cs="Arial"/>
        </w:rPr>
        <w:t xml:space="preserve">guidelines </w:t>
      </w:r>
      <w:r>
        <w:rPr>
          <w:rFonts w:cs="Arial"/>
        </w:rPr>
        <w:t>can help you minimize</w:t>
      </w:r>
      <w:r w:rsidRPr="00776613">
        <w:rPr>
          <w:rFonts w:cs="Arial"/>
        </w:rPr>
        <w:t xml:space="preserve"> the </w:t>
      </w:r>
      <w:r>
        <w:rPr>
          <w:rFonts w:cs="Arial"/>
        </w:rPr>
        <w:t>number of time-consuming defragmentation processes</w:t>
      </w:r>
      <w:r w:rsidRPr="00776613">
        <w:rPr>
          <w:rFonts w:cs="Arial"/>
        </w:rPr>
        <w:t>.</w:t>
      </w:r>
    </w:p>
    <w:p w14:paraId="1D79EA4C" w14:textId="77777777" w:rsidR="00BF2700" w:rsidRPr="00776613" w:rsidRDefault="00BF2700" w:rsidP="00BF2700">
      <w:pPr>
        <w:pStyle w:val="Heading4"/>
      </w:pPr>
      <w:r w:rsidRPr="00776613">
        <w:t xml:space="preserve">File System </w:t>
      </w:r>
      <w:r>
        <w:t xml:space="preserve">Fragmentation </w:t>
      </w:r>
    </w:p>
    <w:p w14:paraId="691E2F7D" w14:textId="77777777" w:rsidR="00BF2700" w:rsidRPr="00776613" w:rsidRDefault="00BF2700" w:rsidP="00BF2700">
      <w:pPr>
        <w:rPr>
          <w:rFonts w:cs="Arial"/>
        </w:rPr>
      </w:pPr>
      <w:r w:rsidRPr="00776613">
        <w:rPr>
          <w:rFonts w:cs="Arial"/>
        </w:rPr>
        <w:t>Disk blocks per database file should be kept contiguous on the physical platter within the NTFS file system. Fragmentation at thi</w:t>
      </w:r>
      <w:r>
        <w:rPr>
          <w:rFonts w:cs="Arial"/>
        </w:rPr>
        <w:t>s level can be prevented by pre</w:t>
      </w:r>
      <w:r w:rsidRPr="00776613">
        <w:rPr>
          <w:rFonts w:cs="Arial"/>
        </w:rPr>
        <w:t>allocat</w:t>
      </w:r>
      <w:r>
        <w:rPr>
          <w:rFonts w:cs="Arial"/>
        </w:rPr>
        <w:t>ion</w:t>
      </w:r>
      <w:r w:rsidRPr="00776613">
        <w:rPr>
          <w:rFonts w:cs="Arial"/>
        </w:rPr>
        <w:t xml:space="preserve"> </w:t>
      </w:r>
      <w:r>
        <w:rPr>
          <w:rFonts w:cs="Arial"/>
        </w:rPr>
        <w:t xml:space="preserve">of </w:t>
      </w:r>
      <w:r w:rsidRPr="00776613">
        <w:rPr>
          <w:rFonts w:cs="Arial"/>
        </w:rPr>
        <w:t xml:space="preserve">files to their expected </w:t>
      </w:r>
      <w:r>
        <w:rPr>
          <w:rFonts w:cs="Arial"/>
        </w:rPr>
        <w:t xml:space="preserve">maximum </w:t>
      </w:r>
      <w:r w:rsidRPr="00776613">
        <w:rPr>
          <w:rFonts w:cs="Arial"/>
        </w:rPr>
        <w:t>size upon creation.</w:t>
      </w:r>
    </w:p>
    <w:p w14:paraId="4610ABFF" w14:textId="77777777" w:rsidR="00BF2700" w:rsidRPr="00776613" w:rsidRDefault="00BF2700" w:rsidP="00BF2700">
      <w:pPr>
        <w:rPr>
          <w:rFonts w:cs="Arial"/>
        </w:rPr>
      </w:pPr>
      <w:r w:rsidRPr="00776613">
        <w:rPr>
          <w:rFonts w:cs="Arial"/>
        </w:rPr>
        <w:t>NTFS file system defrag</w:t>
      </w:r>
      <w:r>
        <w:rPr>
          <w:rFonts w:cs="Arial"/>
        </w:rPr>
        <w:t>mentation tools should be avoided. These tools are designed to work at the operating system level and are not aware of internal SQL Server data file structures.</w:t>
      </w:r>
    </w:p>
    <w:p w14:paraId="08A32A76" w14:textId="77777777" w:rsidR="00BF2700" w:rsidRPr="00776613" w:rsidRDefault="00BF2700" w:rsidP="00BF2700">
      <w:pPr>
        <w:pStyle w:val="Heading4"/>
      </w:pPr>
      <w:r>
        <w:t>Extent Fragmentation</w:t>
      </w:r>
    </w:p>
    <w:p w14:paraId="76A095A7" w14:textId="77777777" w:rsidR="00BF2700" w:rsidRDefault="00BF2700" w:rsidP="00BF2700">
      <w:pPr>
        <w:rPr>
          <w:rFonts w:cs="Arial"/>
        </w:rPr>
      </w:pPr>
      <w:r>
        <w:rPr>
          <w:rFonts w:cs="Arial"/>
        </w:rPr>
        <w:t>Within SQL Server, all of the pages within a file, regardless of table association,</w:t>
      </w:r>
      <w:r w:rsidRPr="00776613">
        <w:rPr>
          <w:rFonts w:cs="Arial"/>
        </w:rPr>
        <w:t xml:space="preserve"> can become interleaved down to the extent size (2M) or p</w:t>
      </w:r>
      <w:r>
        <w:rPr>
          <w:rFonts w:cs="Arial"/>
        </w:rPr>
        <w:t xml:space="preserve">age level (8K). This commonly occurs due </w:t>
      </w:r>
      <w:r w:rsidRPr="00776613">
        <w:rPr>
          <w:rFonts w:cs="Arial"/>
        </w:rPr>
        <w:t xml:space="preserve">to </w:t>
      </w:r>
      <w:r>
        <w:rPr>
          <w:rFonts w:cs="Arial"/>
        </w:rPr>
        <w:t>concurrent</w:t>
      </w:r>
      <w:r w:rsidRPr="00776613">
        <w:rPr>
          <w:rFonts w:cs="Arial"/>
        </w:rPr>
        <w:t xml:space="preserve"> DML operations</w:t>
      </w:r>
      <w:r>
        <w:rPr>
          <w:rFonts w:cs="Arial"/>
        </w:rPr>
        <w:t>,</w:t>
      </w:r>
      <w:r w:rsidRPr="00776613">
        <w:rPr>
          <w:rFonts w:cs="Arial"/>
        </w:rPr>
        <w:t xml:space="preserve"> excessive row</w:t>
      </w:r>
      <w:r>
        <w:rPr>
          <w:rFonts w:cs="Arial"/>
        </w:rPr>
        <w:t>-</w:t>
      </w:r>
      <w:r w:rsidRPr="00776613">
        <w:rPr>
          <w:rFonts w:cs="Arial"/>
        </w:rPr>
        <w:t>level updates</w:t>
      </w:r>
      <w:r>
        <w:rPr>
          <w:rFonts w:cs="Arial"/>
        </w:rPr>
        <w:t>,</w:t>
      </w:r>
      <w:r w:rsidRPr="00776613">
        <w:rPr>
          <w:rFonts w:cs="Arial"/>
        </w:rPr>
        <w:t xml:space="preserve"> or </w:t>
      </w:r>
      <w:r>
        <w:rPr>
          <w:rFonts w:cs="Arial"/>
        </w:rPr>
        <w:t xml:space="preserve">excessive row-level </w:t>
      </w:r>
      <w:r w:rsidRPr="00776613">
        <w:rPr>
          <w:rFonts w:cs="Arial"/>
        </w:rPr>
        <w:t xml:space="preserve">deletes. </w:t>
      </w:r>
    </w:p>
    <w:p w14:paraId="099A2EFE" w14:textId="77777777" w:rsidR="00BF2700" w:rsidRDefault="00BF2700" w:rsidP="00BF2700">
      <w:pPr>
        <w:rPr>
          <w:rFonts w:cs="Arial"/>
        </w:rPr>
      </w:pPr>
      <w:r>
        <w:rPr>
          <w:rFonts w:cs="Arial"/>
        </w:rPr>
        <w:t>Fully rewriting the table or tables in question is the only way to ensure optimal page allocation within a file. There are no alternative methods to resolving this type of database fragmentation. For this reason, it is important to follow guidelines for SQL Server configuration and best practices for loading data and managing DML.</w:t>
      </w:r>
    </w:p>
    <w:p w14:paraId="7B097B8B" w14:textId="22F5F8BC" w:rsidR="00BF2700" w:rsidRDefault="00BF2700" w:rsidP="00BF2700">
      <w:pPr>
        <w:rPr>
          <w:rFonts w:cs="Arial"/>
        </w:rPr>
      </w:pPr>
      <w:r>
        <w:rPr>
          <w:rFonts w:cs="Arial"/>
        </w:rPr>
        <w:t xml:space="preserve">The following query provides key information for evaluating logical fragmentation for a FTDW table. The highest priority metric is Average Fragment Size. This value provides an integer that represents the average number of SQL Server pages that are clustered in contiguous </w:t>
      </w:r>
      <w:r w:rsidR="00D8033E">
        <w:rPr>
          <w:rFonts w:cs="Arial"/>
        </w:rPr>
        <w:t>extents. This value must be greater</w:t>
      </w:r>
      <w:r>
        <w:rPr>
          <w:rFonts w:cs="Arial"/>
        </w:rPr>
        <w:t xml:space="preserve"> than or equal to 400 for benchmarks on FTDW 3.0 qualified reference architectures. Lower values will have an increasingly detrimental impact on disk I/O throughput and overall performance.</w:t>
      </w:r>
    </w:p>
    <w:p w14:paraId="35D58952" w14:textId="77777777" w:rsidR="00BF2700" w:rsidRPr="009179B3" w:rsidRDefault="00BF2700" w:rsidP="00BF2700">
      <w:pPr>
        <w:spacing w:line="240" w:lineRule="auto"/>
        <w:rPr>
          <w:sz w:val="18"/>
          <w:szCs w:val="18"/>
        </w:rPr>
      </w:pPr>
      <w:r>
        <w:rPr>
          <w:sz w:val="18"/>
          <w:szCs w:val="18"/>
        </w:rPr>
        <w:t>SELECT</w:t>
      </w:r>
      <w:r w:rsidRPr="009179B3">
        <w:rPr>
          <w:sz w:val="18"/>
          <w:szCs w:val="18"/>
        </w:rPr>
        <w:t>  db_name(ps.database_id) as database_name</w:t>
      </w:r>
    </w:p>
    <w:p w14:paraId="5C01D226" w14:textId="77777777" w:rsidR="00BF2700" w:rsidRPr="009179B3" w:rsidRDefault="00BF2700" w:rsidP="00BF2700">
      <w:pPr>
        <w:spacing w:line="240" w:lineRule="auto"/>
        <w:rPr>
          <w:sz w:val="18"/>
          <w:szCs w:val="18"/>
        </w:rPr>
      </w:pPr>
      <w:r w:rsidRPr="009179B3">
        <w:rPr>
          <w:sz w:val="18"/>
          <w:szCs w:val="18"/>
        </w:rPr>
        <w:t>              ,object_name(ps.object_id) as table_name</w:t>
      </w:r>
    </w:p>
    <w:p w14:paraId="4CE7E0F5" w14:textId="77777777" w:rsidR="00BF2700" w:rsidRPr="009179B3" w:rsidRDefault="00BF2700" w:rsidP="00BF2700">
      <w:pPr>
        <w:spacing w:line="240" w:lineRule="auto"/>
        <w:rPr>
          <w:sz w:val="18"/>
          <w:szCs w:val="18"/>
        </w:rPr>
      </w:pPr>
      <w:r w:rsidRPr="009179B3">
        <w:rPr>
          <w:sz w:val="18"/>
          <w:szCs w:val="18"/>
        </w:rPr>
        <w:t>              ,ps.index_id</w:t>
      </w:r>
    </w:p>
    <w:p w14:paraId="76ADF915" w14:textId="77777777" w:rsidR="00BF2700" w:rsidRPr="009179B3" w:rsidRDefault="00BF2700" w:rsidP="00BF2700">
      <w:pPr>
        <w:spacing w:line="240" w:lineRule="auto"/>
        <w:rPr>
          <w:sz w:val="18"/>
          <w:szCs w:val="18"/>
        </w:rPr>
      </w:pPr>
      <w:r w:rsidRPr="009179B3">
        <w:rPr>
          <w:sz w:val="18"/>
          <w:szCs w:val="18"/>
        </w:rPr>
        <w:lastRenderedPageBreak/>
        <w:t>              ,i.name</w:t>
      </w:r>
    </w:p>
    <w:p w14:paraId="0B3991EB" w14:textId="77777777" w:rsidR="00BF2700" w:rsidRPr="009179B3" w:rsidRDefault="00BF2700" w:rsidP="00BF2700">
      <w:pPr>
        <w:spacing w:line="240" w:lineRule="auto"/>
        <w:rPr>
          <w:sz w:val="18"/>
          <w:szCs w:val="18"/>
        </w:rPr>
      </w:pPr>
      <w:r w:rsidRPr="009179B3">
        <w:rPr>
          <w:sz w:val="18"/>
          <w:szCs w:val="18"/>
        </w:rPr>
        <w:t>              ,cast (ps.avg_fragmentation_in_percent as int) as [Logical Fragmentation]</w:t>
      </w:r>
    </w:p>
    <w:p w14:paraId="3A9F9E71" w14:textId="77777777" w:rsidR="00BF2700" w:rsidRPr="009179B3" w:rsidRDefault="00BF2700" w:rsidP="00BF2700">
      <w:pPr>
        <w:spacing w:line="240" w:lineRule="auto"/>
        <w:rPr>
          <w:sz w:val="18"/>
          <w:szCs w:val="18"/>
        </w:rPr>
      </w:pPr>
      <w:r w:rsidRPr="009179B3">
        <w:rPr>
          <w:sz w:val="18"/>
          <w:szCs w:val="18"/>
        </w:rPr>
        <w:t>              ,cast (ps.avg_page_space_used_in_percent as int) as [Avg Page Space Used]</w:t>
      </w:r>
    </w:p>
    <w:p w14:paraId="188E2620" w14:textId="77777777" w:rsidR="00BF2700" w:rsidRPr="009179B3" w:rsidRDefault="00BF2700" w:rsidP="00BF2700">
      <w:pPr>
        <w:spacing w:line="240" w:lineRule="auto"/>
        <w:rPr>
          <w:sz w:val="18"/>
          <w:szCs w:val="18"/>
        </w:rPr>
      </w:pPr>
      <w:r w:rsidRPr="009179B3">
        <w:rPr>
          <w:sz w:val="18"/>
          <w:szCs w:val="18"/>
        </w:rPr>
        <w:t>              ,cast (ps.avg_fragment_size_in_pages as int) as [Avg Fragment Size In Pages]</w:t>
      </w:r>
    </w:p>
    <w:p w14:paraId="205961A2" w14:textId="77777777" w:rsidR="00BF2700" w:rsidRPr="009179B3" w:rsidRDefault="00BF2700" w:rsidP="00BF2700">
      <w:pPr>
        <w:spacing w:line="240" w:lineRule="auto"/>
        <w:rPr>
          <w:sz w:val="18"/>
          <w:szCs w:val="18"/>
        </w:rPr>
      </w:pPr>
      <w:r w:rsidRPr="009179B3">
        <w:rPr>
          <w:sz w:val="18"/>
          <w:szCs w:val="18"/>
        </w:rPr>
        <w:t>              ,ps.fragment_count as [Fragment Count]</w:t>
      </w:r>
    </w:p>
    <w:p w14:paraId="20034CAF" w14:textId="77777777" w:rsidR="00BF2700" w:rsidRPr="009179B3" w:rsidRDefault="00BF2700" w:rsidP="00BF2700">
      <w:pPr>
        <w:spacing w:line="240" w:lineRule="auto"/>
        <w:rPr>
          <w:sz w:val="18"/>
          <w:szCs w:val="18"/>
        </w:rPr>
      </w:pPr>
      <w:r w:rsidRPr="009179B3">
        <w:rPr>
          <w:sz w:val="18"/>
          <w:szCs w:val="18"/>
        </w:rPr>
        <w:t>              ,ps.page_count</w:t>
      </w:r>
    </w:p>
    <w:p w14:paraId="39A19E55" w14:textId="77777777" w:rsidR="00BF2700" w:rsidRPr="009179B3" w:rsidRDefault="00BF2700" w:rsidP="00BF2700">
      <w:pPr>
        <w:spacing w:line="240" w:lineRule="auto"/>
        <w:rPr>
          <w:sz w:val="18"/>
          <w:szCs w:val="18"/>
        </w:rPr>
      </w:pPr>
      <w:r w:rsidRPr="009179B3">
        <w:rPr>
          <w:sz w:val="18"/>
          <w:szCs w:val="18"/>
        </w:rPr>
        <w:t>              ,(ps.page_count * 8)/1024/1024 as [Size in GB]</w:t>
      </w:r>
    </w:p>
    <w:p w14:paraId="0843E4AB" w14:textId="77777777" w:rsidR="00BF2700" w:rsidRPr="009179B3" w:rsidRDefault="00BF2700" w:rsidP="00BF2700">
      <w:pPr>
        <w:spacing w:line="240" w:lineRule="auto"/>
        <w:rPr>
          <w:sz w:val="18"/>
          <w:szCs w:val="18"/>
        </w:rPr>
      </w:pPr>
      <w:r>
        <w:rPr>
          <w:sz w:val="18"/>
          <w:szCs w:val="18"/>
        </w:rPr>
        <w:t>FROM</w:t>
      </w:r>
      <w:r w:rsidRPr="009179B3">
        <w:rPr>
          <w:sz w:val="18"/>
          <w:szCs w:val="18"/>
        </w:rPr>
        <w:t xml:space="preserve"> sys.dm_db_index_physical_stats (DB_ID()   </w:t>
      </w:r>
      <w:r w:rsidRPr="009179B3">
        <w:rPr>
          <w:i/>
          <w:sz w:val="18"/>
          <w:szCs w:val="18"/>
        </w:rPr>
        <w:t>--NULL = All Databases</w:t>
      </w:r>
    </w:p>
    <w:p w14:paraId="2FA83A08" w14:textId="77777777" w:rsidR="00BF2700" w:rsidRPr="009179B3" w:rsidRDefault="00BF2700" w:rsidP="00BF2700">
      <w:pPr>
        <w:spacing w:line="240" w:lineRule="auto"/>
        <w:rPr>
          <w:sz w:val="18"/>
          <w:szCs w:val="18"/>
        </w:rPr>
      </w:pPr>
      <w:r w:rsidRPr="009179B3">
        <w:rPr>
          <w:sz w:val="18"/>
          <w:szCs w:val="18"/>
        </w:rPr>
        <w:t>                                                              , OBJECT_ID('$(TABLENAME)')</w:t>
      </w:r>
    </w:p>
    <w:p w14:paraId="63C70A70" w14:textId="77777777" w:rsidR="00BF2700" w:rsidRPr="009179B3" w:rsidRDefault="00BF2700" w:rsidP="00BF2700">
      <w:pPr>
        <w:spacing w:line="240" w:lineRule="auto"/>
        <w:rPr>
          <w:sz w:val="18"/>
          <w:szCs w:val="18"/>
        </w:rPr>
      </w:pPr>
      <w:r w:rsidRPr="009179B3">
        <w:rPr>
          <w:sz w:val="18"/>
          <w:szCs w:val="18"/>
        </w:rPr>
        <w:t>                                                              , 1</w:t>
      </w:r>
    </w:p>
    <w:p w14:paraId="65E85A1B" w14:textId="77777777" w:rsidR="00BF2700" w:rsidRPr="009179B3" w:rsidRDefault="00BF2700" w:rsidP="00BF2700">
      <w:pPr>
        <w:spacing w:line="240" w:lineRule="auto"/>
        <w:rPr>
          <w:sz w:val="18"/>
          <w:szCs w:val="18"/>
        </w:rPr>
      </w:pPr>
      <w:r w:rsidRPr="009179B3">
        <w:rPr>
          <w:sz w:val="18"/>
          <w:szCs w:val="18"/>
        </w:rPr>
        <w:t>                                                              , NULL</w:t>
      </w:r>
    </w:p>
    <w:p w14:paraId="1DD59B79" w14:textId="77777777" w:rsidR="00BF2700" w:rsidRPr="009179B3" w:rsidRDefault="00BF2700" w:rsidP="00BF2700">
      <w:pPr>
        <w:spacing w:line="240" w:lineRule="auto"/>
        <w:rPr>
          <w:sz w:val="18"/>
          <w:szCs w:val="18"/>
        </w:rPr>
      </w:pPr>
      <w:r w:rsidRPr="009179B3">
        <w:rPr>
          <w:sz w:val="18"/>
          <w:szCs w:val="18"/>
        </w:rPr>
        <w:t>                                                              , 'SAMPLED') AS ps     </w:t>
      </w:r>
      <w:r w:rsidRPr="009179B3">
        <w:rPr>
          <w:i/>
          <w:sz w:val="18"/>
          <w:szCs w:val="18"/>
        </w:rPr>
        <w:t>--DETAILED, SAMPLED, NULL = LIMITED</w:t>
      </w:r>
    </w:p>
    <w:p w14:paraId="26BA2662" w14:textId="77777777" w:rsidR="00BF2700" w:rsidRPr="009179B3" w:rsidRDefault="00BF2700" w:rsidP="00BF2700">
      <w:pPr>
        <w:spacing w:line="240" w:lineRule="auto"/>
        <w:rPr>
          <w:sz w:val="18"/>
          <w:szCs w:val="18"/>
        </w:rPr>
      </w:pPr>
      <w:r>
        <w:rPr>
          <w:sz w:val="18"/>
          <w:szCs w:val="18"/>
        </w:rPr>
        <w:t>INNER JOIN</w:t>
      </w:r>
      <w:r w:rsidRPr="009179B3">
        <w:rPr>
          <w:sz w:val="18"/>
          <w:szCs w:val="18"/>
        </w:rPr>
        <w:t xml:space="preserve"> sys.indexes AS i </w:t>
      </w:r>
    </w:p>
    <w:p w14:paraId="4E5F44A2" w14:textId="77777777" w:rsidR="00BF2700" w:rsidRPr="009179B3" w:rsidRDefault="00BF2700" w:rsidP="00BF2700">
      <w:pPr>
        <w:spacing w:line="240" w:lineRule="auto"/>
        <w:rPr>
          <w:sz w:val="18"/>
          <w:szCs w:val="18"/>
        </w:rPr>
      </w:pPr>
      <w:r w:rsidRPr="009179B3">
        <w:rPr>
          <w:sz w:val="18"/>
          <w:szCs w:val="18"/>
        </w:rPr>
        <w:t>              on (ps.object_id = i.object_id AND ps.index_id = i.index_id)</w:t>
      </w:r>
    </w:p>
    <w:p w14:paraId="37D8DC2F" w14:textId="77777777" w:rsidR="00BF2700" w:rsidRPr="009179B3" w:rsidRDefault="00BF2700" w:rsidP="00BF2700">
      <w:pPr>
        <w:spacing w:line="240" w:lineRule="auto"/>
        <w:rPr>
          <w:sz w:val="18"/>
          <w:szCs w:val="18"/>
        </w:rPr>
      </w:pPr>
      <w:r>
        <w:rPr>
          <w:sz w:val="18"/>
          <w:szCs w:val="18"/>
        </w:rPr>
        <w:t>WHERE</w:t>
      </w:r>
      <w:r w:rsidRPr="009179B3">
        <w:rPr>
          <w:sz w:val="18"/>
          <w:szCs w:val="18"/>
        </w:rPr>
        <w:t xml:space="preserve"> ps.database_id = db_id()</w:t>
      </w:r>
    </w:p>
    <w:p w14:paraId="1583CF0B" w14:textId="77777777" w:rsidR="00BF2700" w:rsidRPr="009179B3" w:rsidRDefault="00BF2700" w:rsidP="00BF2700">
      <w:pPr>
        <w:spacing w:line="240" w:lineRule="auto"/>
        <w:rPr>
          <w:sz w:val="18"/>
          <w:szCs w:val="18"/>
        </w:rPr>
      </w:pPr>
      <w:r w:rsidRPr="009179B3">
        <w:rPr>
          <w:sz w:val="18"/>
          <w:szCs w:val="18"/>
        </w:rPr>
        <w:t>    and ps.index_level = 0;</w:t>
      </w:r>
    </w:p>
    <w:p w14:paraId="7CAA95E9" w14:textId="77777777" w:rsidR="00BF2700" w:rsidRPr="00776613" w:rsidRDefault="00BF2700" w:rsidP="00BF2700">
      <w:pPr>
        <w:rPr>
          <w:rFonts w:cs="Arial"/>
        </w:rPr>
      </w:pPr>
    </w:p>
    <w:p w14:paraId="3745FF56" w14:textId="77777777" w:rsidR="00BF2700" w:rsidRPr="00776613" w:rsidRDefault="00BF2700" w:rsidP="00BF2700">
      <w:pPr>
        <w:pStyle w:val="Heading4"/>
      </w:pPr>
      <w:r>
        <w:t>Index Fragmentation</w:t>
      </w:r>
    </w:p>
    <w:p w14:paraId="13614B1B" w14:textId="77777777" w:rsidR="00BF2700" w:rsidRPr="00776613" w:rsidRDefault="00BF2700" w:rsidP="00BF2700">
      <w:pPr>
        <w:rPr>
          <w:rFonts w:cs="Arial"/>
        </w:rPr>
      </w:pPr>
      <w:r w:rsidRPr="00776613">
        <w:rPr>
          <w:rFonts w:cs="Arial"/>
        </w:rPr>
        <w:t xml:space="preserve">An index can be in different physical (page) and logical (index) order. </w:t>
      </w:r>
    </w:p>
    <w:p w14:paraId="168AFB84" w14:textId="77777777" w:rsidR="00BF2700" w:rsidRDefault="00BF2700" w:rsidP="00BF2700">
      <w:pPr>
        <w:rPr>
          <w:rFonts w:cs="Arial"/>
        </w:rPr>
      </w:pPr>
      <w:r>
        <w:rPr>
          <w:rFonts w:cs="Arial"/>
        </w:rPr>
        <w:t xml:space="preserve">Do not use the </w:t>
      </w:r>
      <w:r w:rsidRPr="00776613">
        <w:rPr>
          <w:rFonts w:cs="Arial"/>
        </w:rPr>
        <w:t>ALTER INDEX REORGANIZE command</w:t>
      </w:r>
      <w:r>
        <w:rPr>
          <w:rFonts w:cs="Arial"/>
        </w:rPr>
        <w:t xml:space="preserve"> to resolve this type of fragmentation because doing so can negate the benefits of large allocations. An index rebuild or the use of INSERT…SELECT to insert data into a new copy of the index (which avoids a resort) can resolve this issue. Any ALTER INDEX REBUILD process should specify SORT_IN_TEMPDB=TRUE to avoid fragmentation of the destination filegroup. A MAXDOP value of 1 should also be used to maintain index page order and improve subsequent scan speeds.</w:t>
      </w:r>
    </w:p>
    <w:p w14:paraId="6CDFACF9" w14:textId="77777777" w:rsidR="00BF2700" w:rsidRDefault="00BF2700" w:rsidP="00BF2700">
      <w:pPr>
        <w:pStyle w:val="Heading3"/>
      </w:pPr>
      <w:r>
        <w:t>Filegroup Segmentation</w:t>
      </w:r>
    </w:p>
    <w:p w14:paraId="5BFBCB3C" w14:textId="77777777" w:rsidR="00BF2700" w:rsidRPr="00045383" w:rsidRDefault="00BF2700" w:rsidP="00BF2700">
      <w:r>
        <w:t xml:space="preserve">Separate </w:t>
      </w:r>
      <w:r w:rsidRPr="00045383">
        <w:t>filegroup</w:t>
      </w:r>
      <w:r>
        <w:t>s can be created</w:t>
      </w:r>
      <w:r w:rsidRPr="00045383">
        <w:t xml:space="preserve"> to handle </w:t>
      </w:r>
      <w:r>
        <w:t>volatile data use cases such as:</w:t>
      </w:r>
    </w:p>
    <w:p w14:paraId="65B0A386" w14:textId="77777777" w:rsidR="00BF2700" w:rsidRDefault="00BF2700" w:rsidP="00BF2700">
      <w:pPr>
        <w:pStyle w:val="ListParagraph"/>
        <w:numPr>
          <w:ilvl w:val="0"/>
          <w:numId w:val="15"/>
        </w:numPr>
      </w:pPr>
      <w:r w:rsidRPr="00045383">
        <w:t>Tables</w:t>
      </w:r>
      <w:r>
        <w:t xml:space="preserve"> or i</w:t>
      </w:r>
      <w:r w:rsidRPr="00045383">
        <w:t>ndexes that are frequently dropped and re</w:t>
      </w:r>
      <w:r>
        <w:t>-</w:t>
      </w:r>
      <w:r w:rsidRPr="00045383">
        <w:t>created (leaving gaps in the storage layout that are refilled by other objects)</w:t>
      </w:r>
      <w:r>
        <w:t>.</w:t>
      </w:r>
    </w:p>
    <w:p w14:paraId="447E26A5" w14:textId="77777777" w:rsidR="00BF2700" w:rsidRDefault="00BF2700" w:rsidP="00BF2700">
      <w:pPr>
        <w:pStyle w:val="ListParagraph"/>
        <w:numPr>
          <w:ilvl w:val="0"/>
          <w:numId w:val="15"/>
        </w:numPr>
      </w:pPr>
      <w:r w:rsidRPr="00045383">
        <w:t>Indexes for which there is no choice but to support as highly fragmented because of page splits</w:t>
      </w:r>
      <w:r>
        <w:t>, such as</w:t>
      </w:r>
      <w:r w:rsidRPr="00045383">
        <w:t xml:space="preserve"> </w:t>
      </w:r>
      <w:r>
        <w:t xml:space="preserve">cases in which </w:t>
      </w:r>
      <w:r w:rsidRPr="00045383">
        <w:t xml:space="preserve">incremental data that mostly overlaps </w:t>
      </w:r>
      <w:r>
        <w:t xml:space="preserve">the </w:t>
      </w:r>
      <w:r w:rsidRPr="00045383">
        <w:t>existing clustered index key range</w:t>
      </w:r>
      <w:r w:rsidRPr="00F5768A">
        <w:t xml:space="preserve"> </w:t>
      </w:r>
      <w:r w:rsidRPr="00045383">
        <w:t>is frequently loaded</w:t>
      </w:r>
      <w:r>
        <w:t>.</w:t>
      </w:r>
    </w:p>
    <w:p w14:paraId="369D4F0D" w14:textId="77777777" w:rsidR="00BF2700" w:rsidRDefault="00BF2700" w:rsidP="00BF2700">
      <w:pPr>
        <w:pStyle w:val="ListParagraph"/>
        <w:numPr>
          <w:ilvl w:val="0"/>
          <w:numId w:val="15"/>
        </w:numPr>
      </w:pPr>
      <w:r>
        <w:lastRenderedPageBreak/>
        <w:t>Smaller tables (such as dimension tables) that are loaded in relatively small increments, which can be placed in a volatile filegroup to prevent those rows from interleaving with large transaction or fact tables.</w:t>
      </w:r>
    </w:p>
    <w:p w14:paraId="4BEE67A9" w14:textId="77777777" w:rsidR="00BF2700" w:rsidRDefault="00BF2700" w:rsidP="00BF2700">
      <w:pPr>
        <w:pStyle w:val="ListParagraph"/>
        <w:numPr>
          <w:ilvl w:val="0"/>
          <w:numId w:val="15"/>
        </w:numPr>
      </w:pPr>
      <w:r>
        <w:t>Staging databases from which data is inserted into the final destination table.</w:t>
      </w:r>
    </w:p>
    <w:p w14:paraId="140B923E" w14:textId="77777777" w:rsidR="00BF2700" w:rsidRPr="00B846B3" w:rsidRDefault="00BF2700" w:rsidP="00BF2700">
      <w:r w:rsidRPr="00045383">
        <w:t>Other tables can be placed in a no</w:t>
      </w:r>
      <w:r>
        <w:t xml:space="preserve">nvolatile </w:t>
      </w:r>
      <w:r w:rsidRPr="00045383">
        <w:t>filegroup</w:t>
      </w:r>
      <w:r>
        <w:t>. Additionally, very large fact tables can also be placed in separate file groups.</w:t>
      </w:r>
    </w:p>
    <w:p w14:paraId="1AF611D1" w14:textId="77777777" w:rsidR="00BF2700" w:rsidRPr="004041BE" w:rsidRDefault="00BF2700" w:rsidP="00BF2700">
      <w:pPr>
        <w:pStyle w:val="Heading2"/>
      </w:pPr>
      <w:bookmarkStart w:id="19" w:name="_Toc284834176"/>
      <w:r w:rsidRPr="00CE2256">
        <w:t>Loading</w:t>
      </w:r>
      <w:r>
        <w:t xml:space="preserve"> Data</w:t>
      </w:r>
      <w:bookmarkEnd w:id="19"/>
    </w:p>
    <w:p w14:paraId="6D1648BA" w14:textId="77777777" w:rsidR="00BF2700" w:rsidRDefault="00BF2700" w:rsidP="00BF2700">
      <w:r>
        <w:t xml:space="preserve">The Fast Track component architecture is balanced for higher average scan rates seen with sequential disk access. To maintain these scan rates, care must be taken to ensure contiguous layout of data within the SQL Server file system. </w:t>
      </w:r>
    </w:p>
    <w:p w14:paraId="0AF1048E" w14:textId="77777777" w:rsidR="00BF2700" w:rsidRDefault="00BF2700" w:rsidP="00BF2700">
      <w:r>
        <w:t>This section is divided into the following two high-level approaches, incremental load and data migration. This guidance is specific, but not exclusive, to Fast Track data warehousing.</w:t>
      </w:r>
    </w:p>
    <w:p w14:paraId="5B486E29" w14:textId="77777777" w:rsidR="00BF2700" w:rsidRDefault="00BF2700" w:rsidP="00BF2700">
      <w:r>
        <w:t xml:space="preserve">For more information about SQL Server bulk load, see </w:t>
      </w:r>
      <w:hyperlink r:id="rId29" w:history="1">
        <w:r w:rsidRPr="00BA5D46">
          <w:rPr>
            <w:rStyle w:val="Hyperlink"/>
          </w:rPr>
          <w:t>The Data Loading Performance Guide</w:t>
        </w:r>
      </w:hyperlink>
      <w:r>
        <w:t>.</w:t>
      </w:r>
    </w:p>
    <w:p w14:paraId="04B70C0A" w14:textId="77777777" w:rsidR="00BF2700" w:rsidRDefault="00BF2700" w:rsidP="00BF2700">
      <w:pPr>
        <w:pStyle w:val="Heading3"/>
      </w:pPr>
      <w:r>
        <w:t>Incremental Loads</w:t>
      </w:r>
    </w:p>
    <w:p w14:paraId="7D5599BF" w14:textId="77777777" w:rsidR="00BF2700" w:rsidRDefault="00BF2700" w:rsidP="00BF2700">
      <w:r>
        <w:t>This section covers the common day-to-day load scenarios of a data warehouse environment. This section includes load scenarios with one or more of the following attributes:</w:t>
      </w:r>
    </w:p>
    <w:p w14:paraId="57F8247A" w14:textId="77777777" w:rsidR="00BF2700" w:rsidRDefault="00BF2700" w:rsidP="00BF2700">
      <w:pPr>
        <w:pStyle w:val="ListParagraph"/>
        <w:numPr>
          <w:ilvl w:val="0"/>
          <w:numId w:val="13"/>
        </w:numPr>
      </w:pPr>
      <w:r>
        <w:t>Small size relative to available system memory</w:t>
      </w:r>
    </w:p>
    <w:p w14:paraId="659C5255" w14:textId="77777777" w:rsidR="00BF2700" w:rsidRDefault="00BF2700" w:rsidP="00BF2700">
      <w:pPr>
        <w:pStyle w:val="ListParagraph"/>
        <w:numPr>
          <w:ilvl w:val="0"/>
          <w:numId w:val="13"/>
        </w:numPr>
      </w:pPr>
      <w:r>
        <w:t>Load sort operations fit within available memory</w:t>
      </w:r>
    </w:p>
    <w:p w14:paraId="390F63F1" w14:textId="77777777" w:rsidR="00BF2700" w:rsidRDefault="00BF2700" w:rsidP="00BF2700">
      <w:pPr>
        <w:pStyle w:val="ListParagraph"/>
        <w:numPr>
          <w:ilvl w:val="0"/>
          <w:numId w:val="13"/>
        </w:numPr>
      </w:pPr>
      <w:r>
        <w:t>Small size relative to the total rows in the target load object</w:t>
      </w:r>
    </w:p>
    <w:p w14:paraId="1E79DEF5" w14:textId="77777777" w:rsidR="00BF2700" w:rsidRDefault="00BF2700" w:rsidP="00BF2700">
      <w:r>
        <w:t>The following guidelines should be considered when you are loading heap and clustered index tables.</w:t>
      </w:r>
    </w:p>
    <w:p w14:paraId="446B1EA4" w14:textId="77777777" w:rsidR="00BF2700" w:rsidRDefault="00BF2700" w:rsidP="00BF2700">
      <w:pPr>
        <w:pStyle w:val="Heading4"/>
      </w:pPr>
      <w:r>
        <w:t>Heap Table Load Process</w:t>
      </w:r>
    </w:p>
    <w:p w14:paraId="5C8357E9" w14:textId="77777777" w:rsidR="00BF2700" w:rsidRDefault="00BF2700" w:rsidP="00BF2700">
      <w:r>
        <w:t>Bulk inserts for heap tables can be implemented as serial or parallel process. Use the following tips:</w:t>
      </w:r>
    </w:p>
    <w:p w14:paraId="35D079C9" w14:textId="77777777" w:rsidR="00BF2700" w:rsidRDefault="00BF2700" w:rsidP="00BF2700">
      <w:pPr>
        <w:pStyle w:val="ListParagraph"/>
        <w:numPr>
          <w:ilvl w:val="0"/>
          <w:numId w:val="35"/>
        </w:numPr>
        <w:rPr>
          <w:rFonts w:cs="Arial"/>
        </w:rPr>
      </w:pPr>
      <w:r>
        <w:rPr>
          <w:rFonts w:cs="Arial"/>
        </w:rPr>
        <w:t>To execute the movement of data into the destination heap table, use BULK</w:t>
      </w:r>
      <w:r w:rsidRPr="005A6EE7">
        <w:rPr>
          <w:rFonts w:cs="Arial"/>
        </w:rPr>
        <w:t xml:space="preserve"> </w:t>
      </w:r>
      <w:r>
        <w:rPr>
          <w:rFonts w:cs="Arial"/>
        </w:rPr>
        <w:t>INSERT with the TABLOCK option.</w:t>
      </w:r>
      <w:r w:rsidRPr="0010583D">
        <w:rPr>
          <w:rFonts w:cs="Arial"/>
        </w:rPr>
        <w:t xml:space="preserve"> </w:t>
      </w:r>
      <w:r>
        <w:rPr>
          <w:rFonts w:cs="Arial"/>
        </w:rPr>
        <w:t>I</w:t>
      </w:r>
      <w:r w:rsidRPr="006A6BB0">
        <w:rPr>
          <w:rFonts w:cs="Arial"/>
        </w:rPr>
        <w:t xml:space="preserve">f the </w:t>
      </w:r>
      <w:r>
        <w:t>final permanent table is partitioned,</w:t>
      </w:r>
      <w:r w:rsidRPr="006A6BB0" w:rsidDel="00BF0AC4">
        <w:rPr>
          <w:rFonts w:cs="Arial"/>
        </w:rPr>
        <w:t xml:space="preserve"> </w:t>
      </w:r>
      <w:r>
        <w:rPr>
          <w:rFonts w:cs="Arial"/>
        </w:rPr>
        <w:t>u</w:t>
      </w:r>
      <w:r w:rsidRPr="006A6BB0">
        <w:rPr>
          <w:rFonts w:cs="Arial"/>
        </w:rPr>
        <w:t xml:space="preserve">se </w:t>
      </w:r>
      <w:r>
        <w:rPr>
          <w:rFonts w:cs="Arial"/>
        </w:rPr>
        <w:t xml:space="preserve">the </w:t>
      </w:r>
      <w:r w:rsidRPr="006A6BB0">
        <w:rPr>
          <w:rFonts w:cs="Arial"/>
        </w:rPr>
        <w:t>BATCHSIZE option</w:t>
      </w:r>
      <w:r>
        <w:t xml:space="preserve">, because loading to a partitioned table causes a sort to </w:t>
      </w:r>
      <w:r w:rsidRPr="00BF0AC4">
        <w:rPr>
          <w:b/>
        </w:rPr>
        <w:t>tempdb</w:t>
      </w:r>
      <w:r>
        <w:t xml:space="preserve"> to occur.</w:t>
      </w:r>
    </w:p>
    <w:p w14:paraId="19DCDC54" w14:textId="77777777" w:rsidR="00BF2700" w:rsidRDefault="00BF2700" w:rsidP="00BF2700">
      <w:pPr>
        <w:pStyle w:val="ListParagraph"/>
        <w:numPr>
          <w:ilvl w:val="0"/>
          <w:numId w:val="35"/>
        </w:numPr>
      </w:pPr>
      <w:r>
        <w:t xml:space="preserve">To improve load time performance when you are importing large data sets, run multiple bulk insert operations </w:t>
      </w:r>
      <w:r w:rsidRPr="00807769">
        <w:t>simultaneously</w:t>
      </w:r>
      <w:r>
        <w:t xml:space="preserve"> to utilize parallelism in the bulk process.</w:t>
      </w:r>
    </w:p>
    <w:p w14:paraId="48FD40DB" w14:textId="77777777" w:rsidR="00BF2700" w:rsidRDefault="00BF2700" w:rsidP="00BF2700">
      <w:pPr>
        <w:pStyle w:val="Heading4"/>
      </w:pPr>
      <w:r>
        <w:t>Clustered Index Load Process</w:t>
      </w:r>
    </w:p>
    <w:p w14:paraId="36ADF032" w14:textId="77777777" w:rsidR="00BF2700" w:rsidRDefault="00BF2700" w:rsidP="00BF2700">
      <w:pPr>
        <w:rPr>
          <w:rFonts w:cs="Arial"/>
        </w:rPr>
      </w:pPr>
      <w:r>
        <w:rPr>
          <w:rFonts w:cs="Arial"/>
        </w:rPr>
        <w:t>Two general approaches exist to loading clustered index tables with minimal table fragmentation:</w:t>
      </w:r>
    </w:p>
    <w:p w14:paraId="49E47173" w14:textId="77777777" w:rsidR="00BF2700" w:rsidRDefault="00BF2700" w:rsidP="00BF2700">
      <w:pPr>
        <w:pStyle w:val="ListParagraph"/>
        <w:numPr>
          <w:ilvl w:val="0"/>
          <w:numId w:val="5"/>
        </w:numPr>
        <w:rPr>
          <w:rFonts w:cs="Arial"/>
        </w:rPr>
      </w:pPr>
      <w:r w:rsidRPr="00BE796D">
        <w:rPr>
          <w:rFonts w:cs="Arial"/>
          <w:b/>
        </w:rPr>
        <w:t>Option 1</w:t>
      </w:r>
      <w:r>
        <w:rPr>
          <w:rFonts w:cs="Arial"/>
        </w:rPr>
        <w:t xml:space="preserve">: Use BULK INSERT to load data directly into the destination table. </w:t>
      </w:r>
      <w:r w:rsidRPr="0024097F">
        <w:rPr>
          <w:rFonts w:cs="Arial"/>
        </w:rPr>
        <w:t xml:space="preserve">For best performance, the full set of data being loaded should fit into an in-memory sort. All data loaded should be handled by a single commit operation by using </w:t>
      </w:r>
      <w:r>
        <w:rPr>
          <w:rFonts w:cs="Arial"/>
        </w:rPr>
        <w:t xml:space="preserve">a BATCHSIZE value of </w:t>
      </w:r>
      <w:r>
        <w:rPr>
          <w:rFonts w:cs="Arial"/>
        </w:rPr>
        <w:lastRenderedPageBreak/>
        <w:t xml:space="preserve">0. This setting </w:t>
      </w:r>
      <w:r w:rsidRPr="0024097F">
        <w:rPr>
          <w:rFonts w:cs="Arial"/>
        </w:rPr>
        <w:t xml:space="preserve">prevents data in multiple batches from interleaving and generating page splits. </w:t>
      </w:r>
      <w:r>
        <w:rPr>
          <w:rFonts w:cs="Arial"/>
        </w:rPr>
        <w:t>If you use</w:t>
      </w:r>
      <w:r w:rsidRPr="0024097F">
        <w:rPr>
          <w:rFonts w:cs="Arial"/>
        </w:rPr>
        <w:t xml:space="preserve"> this option, the load must occur single-threaded.</w:t>
      </w:r>
    </w:p>
    <w:p w14:paraId="5BE126F6" w14:textId="77777777" w:rsidR="00BF2700" w:rsidRPr="00E1784D" w:rsidRDefault="00BF2700" w:rsidP="00BF2700">
      <w:pPr>
        <w:pStyle w:val="ListParagraph"/>
        <w:numPr>
          <w:ilvl w:val="0"/>
          <w:numId w:val="5"/>
        </w:numPr>
        <w:rPr>
          <w:rFonts w:cs="Arial"/>
        </w:rPr>
      </w:pPr>
      <w:r w:rsidRPr="00C66F76">
        <w:rPr>
          <w:b/>
        </w:rPr>
        <w:t>Option 2</w:t>
      </w:r>
      <w:r>
        <w:t>:</w:t>
      </w:r>
      <w:r w:rsidRPr="004968B7">
        <w:t xml:space="preserve"> </w:t>
      </w:r>
      <w:r>
        <w:t xml:space="preserve">Create a staging table that matches the structure (including partitioning) of the destination table. </w:t>
      </w:r>
    </w:p>
    <w:p w14:paraId="67A09191" w14:textId="77777777" w:rsidR="00BF2700" w:rsidRDefault="00BF2700" w:rsidP="00BF2700">
      <w:pPr>
        <w:pStyle w:val="ListParagraph"/>
        <w:numPr>
          <w:ilvl w:val="1"/>
          <w:numId w:val="5"/>
        </w:numPr>
        <w:rPr>
          <w:rFonts w:cs="Arial"/>
        </w:rPr>
      </w:pPr>
      <w:r>
        <w:rPr>
          <w:rFonts w:cs="Arial"/>
        </w:rPr>
        <w:t>Perform a s</w:t>
      </w:r>
      <w:r w:rsidRPr="00C66F76">
        <w:rPr>
          <w:rFonts w:cs="Arial"/>
        </w:rPr>
        <w:t>erial or multi</w:t>
      </w:r>
      <w:r>
        <w:rPr>
          <w:rFonts w:cs="Arial"/>
        </w:rPr>
        <w:t>t</w:t>
      </w:r>
      <w:r w:rsidRPr="00C66F76">
        <w:rPr>
          <w:rFonts w:cs="Arial"/>
        </w:rPr>
        <w:t xml:space="preserve">hreaded bulk insert </w:t>
      </w:r>
      <w:r>
        <w:rPr>
          <w:rFonts w:cs="Arial"/>
        </w:rPr>
        <w:t>into the</w:t>
      </w:r>
      <w:r w:rsidRPr="00C66F76">
        <w:rPr>
          <w:rFonts w:cs="Arial"/>
        </w:rPr>
        <w:t xml:space="preserve"> empty clustered index staging table using moderate, nonzero batch</w:t>
      </w:r>
      <w:r>
        <w:rPr>
          <w:rFonts w:cs="Arial"/>
        </w:rPr>
        <w:t xml:space="preserve"> </w:t>
      </w:r>
      <w:r w:rsidRPr="00C66F76">
        <w:rPr>
          <w:rFonts w:cs="Arial"/>
        </w:rPr>
        <w:t>size</w:t>
      </w:r>
      <w:r>
        <w:rPr>
          <w:rFonts w:cs="Arial"/>
        </w:rPr>
        <w:t xml:space="preserve"> values</w:t>
      </w:r>
      <w:r w:rsidRPr="00C66F76">
        <w:rPr>
          <w:rFonts w:cs="Arial"/>
        </w:rPr>
        <w:t xml:space="preserve"> to avoid spilling sorts to </w:t>
      </w:r>
      <w:r w:rsidRPr="00E53D65">
        <w:rPr>
          <w:rFonts w:cs="Arial"/>
          <w:b/>
        </w:rPr>
        <w:t>tempdb</w:t>
      </w:r>
      <w:r w:rsidRPr="00C66F76">
        <w:rPr>
          <w:rFonts w:cs="Arial"/>
        </w:rPr>
        <w:t xml:space="preserve">. </w:t>
      </w:r>
      <w:r>
        <w:rPr>
          <w:rFonts w:cs="Arial"/>
        </w:rPr>
        <w:t>Best performance will be achieved with some level of parallelism. The goal of this step is performance; therefore the page splits and logical fragmentation induced by parallel and/or concurrent inserts are not a concern.</w:t>
      </w:r>
    </w:p>
    <w:p w14:paraId="15FD5E97" w14:textId="77777777" w:rsidR="00BF2700" w:rsidRDefault="00BF2700" w:rsidP="00BF2700">
      <w:pPr>
        <w:pStyle w:val="ListParagraph"/>
        <w:numPr>
          <w:ilvl w:val="1"/>
          <w:numId w:val="5"/>
        </w:numPr>
        <w:rPr>
          <w:rFonts w:cs="Arial"/>
        </w:rPr>
      </w:pPr>
      <w:r>
        <w:rPr>
          <w:rFonts w:cs="Arial"/>
        </w:rPr>
        <w:t>Insert from the staging table into the destination clustered index table using a</w:t>
      </w:r>
      <w:r w:rsidRPr="00C66F76">
        <w:rPr>
          <w:rFonts w:cs="Arial"/>
        </w:rPr>
        <w:t xml:space="preserve"> single</w:t>
      </w:r>
      <w:r>
        <w:rPr>
          <w:rFonts w:cs="Arial"/>
        </w:rPr>
        <w:t xml:space="preserve"> INSERT…SELECT statement with a MAXDOP value of 1</w:t>
      </w:r>
      <w:r w:rsidRPr="00C66F76">
        <w:rPr>
          <w:rFonts w:cs="Arial"/>
        </w:rPr>
        <w:t>.</w:t>
      </w:r>
      <w:r>
        <w:rPr>
          <w:rFonts w:cs="Arial"/>
        </w:rPr>
        <w:t xml:space="preserve"> This MAXDOP hint setting ensures that data pages are placed contiguously within the SQL Server data file and will clean up any logical fragmentation created in the prior step.</w:t>
      </w:r>
    </w:p>
    <w:p w14:paraId="34228473" w14:textId="77777777" w:rsidR="00BF2700" w:rsidRDefault="00BF2700" w:rsidP="00BF2700">
      <w:pPr>
        <w:pStyle w:val="ListParagraph"/>
        <w:numPr>
          <w:ilvl w:val="0"/>
          <w:numId w:val="5"/>
        </w:numPr>
        <w:rPr>
          <w:rFonts w:cs="Arial"/>
        </w:rPr>
      </w:pPr>
      <w:r w:rsidRPr="00E1784D">
        <w:rPr>
          <w:rFonts w:cs="Arial"/>
          <w:b/>
        </w:rPr>
        <w:t>Option 3</w:t>
      </w:r>
      <w:r>
        <w:rPr>
          <w:rFonts w:cs="Arial"/>
        </w:rPr>
        <w:t>: This option requires the use of two filegroups and two or more tables. The approach requires a partitioned cluster index table and is best suited for tables that see high levels of logical fragmentation in the most current partitions with little to no change activity to older partitions. The overall goal is to place volatile partitions in a dedicated filegroup and age or “roll” those partitions to the static filegroup after they stop receiving new records or changes to existing records.</w:t>
      </w:r>
    </w:p>
    <w:p w14:paraId="2B3FEF18" w14:textId="77777777" w:rsidR="00BF2700" w:rsidRPr="00464B24" w:rsidRDefault="00BF2700" w:rsidP="00BF2700">
      <w:pPr>
        <w:pStyle w:val="ListParagraph"/>
        <w:numPr>
          <w:ilvl w:val="1"/>
          <w:numId w:val="5"/>
        </w:numPr>
        <w:rPr>
          <w:rFonts w:cs="Arial"/>
        </w:rPr>
      </w:pPr>
      <w:r>
        <w:rPr>
          <w:rFonts w:cs="Arial"/>
        </w:rPr>
        <w:t>Create two f</w:t>
      </w:r>
      <w:r w:rsidRPr="00464B24">
        <w:rPr>
          <w:rFonts w:cs="Arial"/>
        </w:rPr>
        <w:t>ilegroups</w:t>
      </w:r>
      <w:r>
        <w:rPr>
          <w:rFonts w:cs="Arial"/>
        </w:rPr>
        <w:t>,</w:t>
      </w:r>
      <w:r w:rsidRPr="00464B24">
        <w:rPr>
          <w:rFonts w:cs="Arial"/>
        </w:rPr>
        <w:t xml:space="preserve"> </w:t>
      </w:r>
      <w:r>
        <w:rPr>
          <w:rFonts w:cs="Arial"/>
        </w:rPr>
        <w:t>following</w:t>
      </w:r>
      <w:r w:rsidRPr="00464B24">
        <w:rPr>
          <w:rFonts w:cs="Arial"/>
        </w:rPr>
        <w:t xml:space="preserve"> </w:t>
      </w:r>
      <w:r>
        <w:rPr>
          <w:rFonts w:cs="Arial"/>
        </w:rPr>
        <w:t>FTDW guidance</w:t>
      </w:r>
      <w:r w:rsidRPr="00464B24">
        <w:rPr>
          <w:rFonts w:cs="Arial"/>
        </w:rPr>
        <w:t xml:space="preserve">. One </w:t>
      </w:r>
      <w:r>
        <w:rPr>
          <w:rFonts w:cs="Arial"/>
        </w:rPr>
        <w:t>will be dedicated to</w:t>
      </w:r>
      <w:r w:rsidRPr="00464B24">
        <w:rPr>
          <w:rFonts w:cs="Arial"/>
        </w:rPr>
        <w:t xml:space="preserve"> volatile partitions and </w:t>
      </w:r>
      <w:r>
        <w:rPr>
          <w:rFonts w:cs="Arial"/>
        </w:rPr>
        <w:t xml:space="preserve">the other to </w:t>
      </w:r>
      <w:r w:rsidRPr="00464B24">
        <w:rPr>
          <w:rFonts w:cs="Arial"/>
        </w:rPr>
        <w:t>static partitions. A volatile partition is one in which more than 10</w:t>
      </w:r>
      <w:r>
        <w:rPr>
          <w:rFonts w:cs="Arial"/>
        </w:rPr>
        <w:t xml:space="preserve"> percent</w:t>
      </w:r>
      <w:r w:rsidRPr="00464B24">
        <w:rPr>
          <w:rFonts w:cs="Arial"/>
        </w:rPr>
        <w:t xml:space="preserve"> of rows will change </w:t>
      </w:r>
      <w:r>
        <w:rPr>
          <w:rFonts w:cs="Arial"/>
        </w:rPr>
        <w:t>over time</w:t>
      </w:r>
      <w:r w:rsidRPr="00464B24">
        <w:rPr>
          <w:rFonts w:cs="Arial"/>
        </w:rPr>
        <w:t xml:space="preserve">. A static partition is </w:t>
      </w:r>
      <w:r>
        <w:rPr>
          <w:rFonts w:cs="Arial"/>
        </w:rPr>
        <w:t>one that is</w:t>
      </w:r>
      <w:r w:rsidRPr="00464B24">
        <w:rPr>
          <w:rFonts w:cs="Arial"/>
        </w:rPr>
        <w:t xml:space="preserve"> not volatile.</w:t>
      </w:r>
    </w:p>
    <w:p w14:paraId="4EC431DA" w14:textId="77777777" w:rsidR="00BF2700" w:rsidRDefault="00BF2700" w:rsidP="00BF2700">
      <w:pPr>
        <w:pStyle w:val="ListParagraph"/>
        <w:numPr>
          <w:ilvl w:val="1"/>
          <w:numId w:val="5"/>
        </w:numPr>
        <w:rPr>
          <w:rFonts w:cs="Arial"/>
        </w:rPr>
      </w:pPr>
      <w:r>
        <w:rPr>
          <w:rFonts w:cs="Arial"/>
        </w:rPr>
        <w:t>Build the primary cluster index partitioned table in the static filegroup.</w:t>
      </w:r>
    </w:p>
    <w:p w14:paraId="57B952A2" w14:textId="77777777" w:rsidR="00BF2700" w:rsidRDefault="00BF2700" w:rsidP="00BF2700">
      <w:pPr>
        <w:pStyle w:val="ListParagraph"/>
        <w:numPr>
          <w:ilvl w:val="1"/>
          <w:numId w:val="5"/>
        </w:numPr>
        <w:rPr>
          <w:rFonts w:cs="Arial"/>
        </w:rPr>
      </w:pPr>
      <w:r>
        <w:rPr>
          <w:rFonts w:cs="Arial"/>
        </w:rPr>
        <w:t>Build a table consistent with one of the following two general approaches:</w:t>
      </w:r>
    </w:p>
    <w:p w14:paraId="7BA3F3E7" w14:textId="77777777" w:rsidR="00BF2700" w:rsidRDefault="00BF2700" w:rsidP="00BF2700">
      <w:pPr>
        <w:pStyle w:val="ListParagraph"/>
        <w:numPr>
          <w:ilvl w:val="2"/>
          <w:numId w:val="5"/>
        </w:numPr>
        <w:rPr>
          <w:rFonts w:cs="Arial"/>
        </w:rPr>
      </w:pPr>
      <w:r>
        <w:rPr>
          <w:rFonts w:cs="Arial"/>
        </w:rPr>
        <w:t xml:space="preserve">A single heap table with a constraint that mirrors the partition scheme of the primary table. This constraint would represent the volatile range of the primary data set and may span one or more partition ranges of the primary table scheme. This is most useful if initial load performance is the key decision criteria because loads to a heap are generally more efficient than loads to a cluster index. </w:t>
      </w:r>
    </w:p>
    <w:p w14:paraId="5BD0EA10" w14:textId="77777777" w:rsidR="00BF2700" w:rsidRDefault="00BF2700" w:rsidP="00BF2700">
      <w:pPr>
        <w:pStyle w:val="ListParagraph"/>
        <w:numPr>
          <w:ilvl w:val="2"/>
          <w:numId w:val="5"/>
        </w:numPr>
        <w:rPr>
          <w:rFonts w:cs="Arial"/>
        </w:rPr>
      </w:pPr>
      <w:r>
        <w:rPr>
          <w:rFonts w:cs="Arial"/>
        </w:rPr>
        <w:t>A single cluster index table with a partition scheme that is consistent with the primary table partition. This allows direct inserts with low degree of parallelism (DOP) to the primary table as volatile partitions age. After they are aged via insert to the primary table, partitions are dropped and new ranges added.</w:t>
      </w:r>
    </w:p>
    <w:p w14:paraId="78B05F78" w14:textId="77777777" w:rsidR="00BF2700" w:rsidRDefault="00BF2700" w:rsidP="00BF2700">
      <w:pPr>
        <w:pStyle w:val="ListParagraph"/>
        <w:numPr>
          <w:ilvl w:val="1"/>
          <w:numId w:val="5"/>
        </w:numPr>
        <w:rPr>
          <w:rFonts w:cs="Arial"/>
        </w:rPr>
      </w:pPr>
      <w:r>
        <w:rPr>
          <w:rFonts w:cs="Arial"/>
        </w:rPr>
        <w:t>Build a view that unions both tables together. This presents the combination of the two tables as a single object from the user perspective.</w:t>
      </w:r>
    </w:p>
    <w:p w14:paraId="214B81DF" w14:textId="77777777" w:rsidR="00BF2700" w:rsidRDefault="00BF2700" w:rsidP="00BF2700">
      <w:pPr>
        <w:pStyle w:val="ListParagraph"/>
        <w:numPr>
          <w:ilvl w:val="1"/>
          <w:numId w:val="5"/>
        </w:numPr>
        <w:rPr>
          <w:rFonts w:cs="Arial"/>
        </w:rPr>
      </w:pPr>
      <w:r>
        <w:rPr>
          <w:rFonts w:cs="Arial"/>
        </w:rPr>
        <w:t>After the volatile data ranges become static from a change-data perspective, use an appropriate aging process (often called partition rolling):</w:t>
      </w:r>
    </w:p>
    <w:p w14:paraId="68C2047A" w14:textId="77777777" w:rsidR="00BF2700" w:rsidRDefault="00BF2700" w:rsidP="00BF2700">
      <w:pPr>
        <w:pStyle w:val="ListParagraph"/>
        <w:numPr>
          <w:ilvl w:val="2"/>
          <w:numId w:val="5"/>
        </w:numPr>
        <w:rPr>
          <w:rFonts w:cs="Arial"/>
        </w:rPr>
      </w:pPr>
      <w:r>
        <w:rPr>
          <w:rFonts w:cs="Arial"/>
        </w:rPr>
        <w:t xml:space="preserve">If a heap table with constraint is used; move data by partition range to the static filegroup via insert to staging table. Use CREATE INDEX and partition switching to move the data into the primary table. For more </w:t>
      </w:r>
      <w:r>
        <w:rPr>
          <w:rFonts w:cs="Arial"/>
        </w:rPr>
        <w:lastRenderedPageBreak/>
        <w:t xml:space="preserve">information about this type of operation for FTDW configurations, see the following section on </w:t>
      </w:r>
      <w:hyperlink w:anchor="_Data_Migration" w:history="1">
        <w:r w:rsidRPr="00AF6308">
          <w:rPr>
            <w:rStyle w:val="Hyperlink"/>
            <w:rFonts w:cs="Arial"/>
          </w:rPr>
          <w:t>Data Migration</w:t>
        </w:r>
      </w:hyperlink>
      <w:r>
        <w:rPr>
          <w:rFonts w:cs="Arial"/>
        </w:rPr>
        <w:t>.</w:t>
      </w:r>
    </w:p>
    <w:p w14:paraId="7632AC8F" w14:textId="77777777" w:rsidR="00BF2700" w:rsidRPr="005D59B2" w:rsidRDefault="00BF2700" w:rsidP="00BF2700">
      <w:pPr>
        <w:pStyle w:val="ListParagraph"/>
        <w:numPr>
          <w:ilvl w:val="2"/>
          <w:numId w:val="5"/>
        </w:numPr>
        <w:rPr>
          <w:rFonts w:cs="Arial"/>
        </w:rPr>
      </w:pPr>
      <w:r>
        <w:rPr>
          <w:rFonts w:cs="Arial"/>
        </w:rPr>
        <w:t>If a partitioned CI is used; Use a low DOP that is, less than or equal to 8) INSERT, restricted by partition range, directly into the primary table. You may need to set the DOP as low as one to avoid fragmentation depending on overall system concurrency.</w:t>
      </w:r>
    </w:p>
    <w:p w14:paraId="1112EDE7" w14:textId="77777777" w:rsidR="00BF2700" w:rsidRDefault="00BF2700" w:rsidP="00BF2700">
      <w:pPr>
        <w:pStyle w:val="Heading3"/>
      </w:pPr>
      <w:bookmarkStart w:id="20" w:name="_Data_Migration"/>
      <w:bookmarkEnd w:id="20"/>
      <w:r>
        <w:t>Data Migration</w:t>
      </w:r>
    </w:p>
    <w:p w14:paraId="1E3D6573" w14:textId="77777777" w:rsidR="00BF2700" w:rsidRDefault="00BF2700" w:rsidP="00BF2700">
      <w:r>
        <w:t>This covers large one-time or infrequent load scenarios in a data warehouse environment. These situations can occur during platform migration or while test data is loaded for system benchmarking. This topic includes load scenarios with one or more of the following attributes:</w:t>
      </w:r>
    </w:p>
    <w:p w14:paraId="3469BEE6" w14:textId="77777777" w:rsidR="00BF2700" w:rsidRDefault="00BF2700" w:rsidP="00BF2700">
      <w:pPr>
        <w:pStyle w:val="ListParagraph"/>
        <w:numPr>
          <w:ilvl w:val="0"/>
          <w:numId w:val="13"/>
        </w:numPr>
      </w:pPr>
      <w:r>
        <w:t>Load operations that exceed available system memory</w:t>
      </w:r>
    </w:p>
    <w:p w14:paraId="57CD5A64" w14:textId="77777777" w:rsidR="00BF2700" w:rsidRDefault="00BF2700" w:rsidP="00BF2700">
      <w:pPr>
        <w:pStyle w:val="ListParagraph"/>
        <w:numPr>
          <w:ilvl w:val="0"/>
          <w:numId w:val="13"/>
        </w:numPr>
      </w:pPr>
      <w:r>
        <w:t>High-concurrency, high-volume load operations that create pressure on available memory</w:t>
      </w:r>
    </w:p>
    <w:p w14:paraId="7C118A30" w14:textId="77777777" w:rsidR="00BF2700" w:rsidRDefault="00BF2700" w:rsidP="00BF2700">
      <w:pPr>
        <w:pStyle w:val="Heading4"/>
      </w:pPr>
      <w:r>
        <w:t>Heap Table Load Process</w:t>
      </w:r>
    </w:p>
    <w:p w14:paraId="47EF47CD" w14:textId="77777777" w:rsidR="00BF2700" w:rsidRPr="00EB1CAD" w:rsidRDefault="00BF2700" w:rsidP="00BF2700">
      <w:r>
        <w:t>Follow the guidance provided for incremental load processing.</w:t>
      </w:r>
    </w:p>
    <w:p w14:paraId="41A260C2" w14:textId="77777777" w:rsidR="00BF2700" w:rsidRDefault="00BF2700" w:rsidP="00BF2700">
      <w:pPr>
        <w:pStyle w:val="Heading4"/>
      </w:pPr>
      <w:r>
        <w:t>Clustered Index Load Process</w:t>
      </w:r>
    </w:p>
    <w:p w14:paraId="0D66D1CA" w14:textId="77777777" w:rsidR="00BF2700" w:rsidRDefault="00BF2700" w:rsidP="00BF2700">
      <w:pPr>
        <w:rPr>
          <w:rFonts w:cs="Arial"/>
        </w:rPr>
      </w:pPr>
      <w:r>
        <w:rPr>
          <w:rFonts w:cs="Arial"/>
        </w:rPr>
        <w:t>Two general approaches exist to loading clustered index tables with minimal table fragmentation:</w:t>
      </w:r>
    </w:p>
    <w:p w14:paraId="3C8AE7A8" w14:textId="77777777" w:rsidR="00BF2700" w:rsidRDefault="00BF2700" w:rsidP="00BF2700">
      <w:pPr>
        <w:pStyle w:val="ListParagraph"/>
        <w:numPr>
          <w:ilvl w:val="0"/>
          <w:numId w:val="5"/>
        </w:numPr>
        <w:rPr>
          <w:rFonts w:cs="Arial"/>
        </w:rPr>
      </w:pPr>
      <w:r w:rsidRPr="00BE796D">
        <w:rPr>
          <w:rFonts w:cs="Arial"/>
          <w:b/>
        </w:rPr>
        <w:t>Option 1</w:t>
      </w:r>
      <w:r>
        <w:rPr>
          <w:rFonts w:cs="Arial"/>
        </w:rPr>
        <w:t>: Use BULK INSERT to load data directly into a clustered index target table. Sort operations and full commit size should fit in memory for best performance. Care must be taken to ensure that separate batches of data being loaded do not have index key ranges that overlap.</w:t>
      </w:r>
    </w:p>
    <w:p w14:paraId="37E5F77E" w14:textId="77777777" w:rsidR="00BF2700" w:rsidRDefault="00BF2700" w:rsidP="00BF2700">
      <w:pPr>
        <w:pStyle w:val="ListParagraph"/>
        <w:numPr>
          <w:ilvl w:val="0"/>
          <w:numId w:val="5"/>
        </w:numPr>
        <w:rPr>
          <w:rFonts w:cs="Arial"/>
        </w:rPr>
      </w:pPr>
      <w:r w:rsidRPr="00BE796D">
        <w:rPr>
          <w:rFonts w:cs="Arial"/>
          <w:b/>
        </w:rPr>
        <w:t>Option 2</w:t>
      </w:r>
      <w:r w:rsidRPr="00CC3A99">
        <w:rPr>
          <w:rFonts w:cs="Arial"/>
        </w:rPr>
        <w:t xml:space="preserve">: </w:t>
      </w:r>
      <w:r>
        <w:rPr>
          <w:rFonts w:cs="Arial"/>
        </w:rPr>
        <w:t>Perform a serial or multithreaded bulk insert to an empty clustered index staging table of identical structure. Use moderate, nonzero batch size to keep sorts in memory. Next,</w:t>
      </w:r>
      <w:r w:rsidRPr="00C66F76">
        <w:rPr>
          <w:rFonts w:cs="Arial"/>
        </w:rPr>
        <w:t xml:space="preserve"> </w:t>
      </w:r>
      <w:r>
        <w:rPr>
          <w:rFonts w:cs="Arial"/>
        </w:rPr>
        <w:t>insert data into an empty clustered index table using a</w:t>
      </w:r>
      <w:r w:rsidRPr="00C66F76">
        <w:rPr>
          <w:rFonts w:cs="Arial"/>
        </w:rPr>
        <w:t xml:space="preserve"> single</w:t>
      </w:r>
      <w:r>
        <w:rPr>
          <w:rFonts w:cs="Arial"/>
        </w:rPr>
        <w:t xml:space="preserve"> INSERT…SELECT statement with a MAXDOP value of 1.</w:t>
      </w:r>
    </w:p>
    <w:p w14:paraId="0C545FFD" w14:textId="77777777" w:rsidR="00BF2700" w:rsidRDefault="00BF2700" w:rsidP="00BF2700">
      <w:pPr>
        <w:pStyle w:val="ListParagraph"/>
        <w:numPr>
          <w:ilvl w:val="0"/>
          <w:numId w:val="5"/>
        </w:numPr>
        <w:spacing w:after="0" w:line="240" w:lineRule="auto"/>
        <w:rPr>
          <w:rFonts w:ascii="Times New Roman" w:hAnsi="Times New Roman"/>
          <w:sz w:val="24"/>
          <w:szCs w:val="24"/>
          <w:lang w:val="en-GB" w:eastAsia="en-GB"/>
        </w:rPr>
      </w:pPr>
      <w:r w:rsidRPr="00B0173A">
        <w:rPr>
          <w:b/>
        </w:rPr>
        <w:t>Option 3</w:t>
      </w:r>
      <w:r>
        <w:t>:</w:t>
      </w:r>
      <w:r w:rsidRPr="004968B7">
        <w:t xml:space="preserve"> </w:t>
      </w:r>
      <w:r>
        <w:t xml:space="preserve">Use multithreaded bulk inserts to a partition conforming heap staging table, using moderate nonzero batch size values to keep sorts in memory. Next, use serial or parallel INSERT…SELECT statements spanning each partition range to insert data into the clustered index table.  </w:t>
      </w:r>
    </w:p>
    <w:p w14:paraId="1BF31DC4" w14:textId="77777777" w:rsidR="00BF2700" w:rsidRDefault="00BF2700" w:rsidP="00BF2700">
      <w:pPr>
        <w:pStyle w:val="ListParagraph"/>
        <w:numPr>
          <w:ilvl w:val="0"/>
          <w:numId w:val="5"/>
        </w:numPr>
        <w:spacing w:after="0" w:line="240" w:lineRule="auto"/>
        <w:rPr>
          <w:lang w:val="en-GB" w:eastAsia="en-GB"/>
        </w:rPr>
      </w:pPr>
      <w:r w:rsidRPr="00B0173A">
        <w:rPr>
          <w:b/>
          <w:lang w:val="en-GB" w:eastAsia="en-GB"/>
        </w:rPr>
        <w:t>Option 4</w:t>
      </w:r>
      <w:r w:rsidRPr="00B0173A">
        <w:rPr>
          <w:lang w:val="en-GB" w:eastAsia="en-GB"/>
        </w:rPr>
        <w:t>: Partition switch operations can be used</w:t>
      </w:r>
      <w:r>
        <w:rPr>
          <w:lang w:val="en-GB" w:eastAsia="en-GB"/>
        </w:rPr>
        <w:t xml:space="preserve"> in a multi-step process that generally provides the best results for large load operations. This approach adds more complexity to the overall process and is designed to demonstrate an approach that is optimal for raw load performance. The primary goal of this approach is to enable parallel write activity at all phases of the insert to cluster index operation without introducing logical fragmentation. This is achieved by staging the table across multiple filegroups prior to inserting the data into the final destination table.</w:t>
      </w:r>
    </w:p>
    <w:p w14:paraId="58C9AC29" w14:textId="77777777" w:rsidR="00BF2700" w:rsidRPr="00D16ECB" w:rsidRDefault="00BF2700" w:rsidP="00BF2700">
      <w:pPr>
        <w:pStyle w:val="ListParagraph"/>
        <w:numPr>
          <w:ilvl w:val="1"/>
          <w:numId w:val="5"/>
        </w:numPr>
        <w:spacing w:after="0" w:line="240" w:lineRule="auto"/>
        <w:rPr>
          <w:lang w:val="en-GB" w:eastAsia="en-GB"/>
        </w:rPr>
      </w:pPr>
      <w:r>
        <w:rPr>
          <w:lang w:val="en-GB" w:eastAsia="en-GB"/>
        </w:rPr>
        <w:t>Identify the partition scheme for the final, destination cluster index table.</w:t>
      </w:r>
    </w:p>
    <w:p w14:paraId="4BDE976E" w14:textId="77777777" w:rsidR="00BF2700" w:rsidRDefault="00BF2700" w:rsidP="00BF2700">
      <w:pPr>
        <w:pStyle w:val="ListParagraph"/>
        <w:numPr>
          <w:ilvl w:val="1"/>
          <w:numId w:val="5"/>
        </w:numPr>
        <w:spacing w:after="0" w:line="240" w:lineRule="auto"/>
        <w:rPr>
          <w:lang w:val="en-GB" w:eastAsia="en-GB"/>
        </w:rPr>
      </w:pPr>
      <w:r>
        <w:rPr>
          <w:lang w:val="en-GB" w:eastAsia="en-GB"/>
        </w:rPr>
        <w:t>Create a stage filegroup.</w:t>
      </w:r>
    </w:p>
    <w:p w14:paraId="35643E70" w14:textId="77777777" w:rsidR="00BF2700" w:rsidRDefault="00BF2700" w:rsidP="00BF2700">
      <w:pPr>
        <w:pStyle w:val="ListParagraph"/>
        <w:numPr>
          <w:ilvl w:val="1"/>
          <w:numId w:val="5"/>
        </w:numPr>
        <w:spacing w:after="0" w:line="240" w:lineRule="auto"/>
        <w:rPr>
          <w:lang w:val="en-GB" w:eastAsia="en-GB"/>
        </w:rPr>
      </w:pPr>
      <w:r>
        <w:rPr>
          <w:lang w:val="en-GB" w:eastAsia="en-GB"/>
        </w:rPr>
        <w:t>Create an uncompressed, nonpartitioned heap “base” staging table in the stage filegroup.</w:t>
      </w:r>
    </w:p>
    <w:p w14:paraId="61BC229B" w14:textId="77777777" w:rsidR="00BF2700" w:rsidRPr="009E372A" w:rsidRDefault="00BF2700" w:rsidP="00BF2700">
      <w:pPr>
        <w:pStyle w:val="ListParagraph"/>
        <w:numPr>
          <w:ilvl w:val="1"/>
          <w:numId w:val="5"/>
        </w:numPr>
        <w:spacing w:after="0" w:line="240" w:lineRule="auto"/>
        <w:rPr>
          <w:lang w:val="en-GB" w:eastAsia="en-GB"/>
        </w:rPr>
      </w:pPr>
      <w:r>
        <w:rPr>
          <w:lang w:val="en-GB" w:eastAsia="en-GB"/>
        </w:rPr>
        <w:t xml:space="preserve">Bulk insert data using WITH TABLOCK to the base staging table. </w:t>
      </w:r>
      <w:r w:rsidRPr="009E372A">
        <w:rPr>
          <w:lang w:val="en-GB" w:eastAsia="en-GB"/>
        </w:rPr>
        <w:t xml:space="preserve">Multiple, parallel </w:t>
      </w:r>
      <w:r>
        <w:rPr>
          <w:lang w:val="en-GB" w:eastAsia="en-GB"/>
        </w:rPr>
        <w:t>bulk-copy</w:t>
      </w:r>
      <w:r w:rsidRPr="009E372A">
        <w:rPr>
          <w:lang w:val="en-GB" w:eastAsia="en-GB"/>
        </w:rPr>
        <w:t xml:space="preserve"> operations are the most efficient approach if multiple source </w:t>
      </w:r>
      <w:r w:rsidRPr="009E372A">
        <w:rPr>
          <w:lang w:val="en-GB" w:eastAsia="en-GB"/>
        </w:rPr>
        <w:lastRenderedPageBreak/>
        <w:t xml:space="preserve">files are an option. The number of parallel load operations to achieve maximum throughput is dependent on server resources (CPU and memory) and the data being loaded. </w:t>
      </w:r>
    </w:p>
    <w:p w14:paraId="09887EEF" w14:textId="77777777" w:rsidR="00BF2700" w:rsidRPr="00F26AD8" w:rsidRDefault="00BF2700" w:rsidP="00BF2700">
      <w:pPr>
        <w:pStyle w:val="ListParagraph"/>
        <w:numPr>
          <w:ilvl w:val="1"/>
          <w:numId w:val="5"/>
        </w:numPr>
        <w:spacing w:after="0" w:line="240" w:lineRule="auto"/>
      </w:pPr>
      <w:r>
        <w:rPr>
          <w:lang w:val="en-GB" w:eastAsia="en-GB"/>
        </w:rPr>
        <w:t xml:space="preserve">Identify the number of primary filegroups to be supported. This number should be a multiple of the total number of partitions in the destination table. The number also represents the total number of INSERT and CREATE INDEX operations to be executed concurrently in later steps. </w:t>
      </w:r>
      <w:r w:rsidRPr="00F26AD8">
        <w:t xml:space="preserve">As an example, for a table with 24 partitions and a server with </w:t>
      </w:r>
      <w:r>
        <w:t>eight</w:t>
      </w:r>
      <w:r w:rsidRPr="00F26AD8">
        <w:t xml:space="preserve"> cores </w:t>
      </w:r>
      <w:r>
        <w:t>eight</w:t>
      </w:r>
      <w:r w:rsidRPr="00F26AD8">
        <w:t xml:space="preserve"> primary filegroups</w:t>
      </w:r>
      <w:r>
        <w:t xml:space="preserve"> can be chosen</w:t>
      </w:r>
      <w:r w:rsidRPr="00F26AD8">
        <w:t xml:space="preserve">. This allows execution of </w:t>
      </w:r>
      <w:r>
        <w:t>eight</w:t>
      </w:r>
      <w:r w:rsidRPr="00F26AD8">
        <w:t xml:space="preserve"> parallel inserts in the next steps, one for each of the </w:t>
      </w:r>
      <w:r>
        <w:t>eight</w:t>
      </w:r>
      <w:r w:rsidRPr="00F26AD8">
        <w:t xml:space="preserve"> primary filegroups. Each filegroup, in this case, would contain </w:t>
      </w:r>
      <w:r>
        <w:t>three</w:t>
      </w:r>
      <w:r w:rsidRPr="00F26AD8">
        <w:t xml:space="preserve"> partition ranges worth of data.</w:t>
      </w:r>
    </w:p>
    <w:p w14:paraId="547A5C82" w14:textId="77777777" w:rsidR="00BF2700" w:rsidRDefault="00BF2700" w:rsidP="00BF2700">
      <w:pPr>
        <w:pStyle w:val="ListParagraph"/>
        <w:numPr>
          <w:ilvl w:val="1"/>
          <w:numId w:val="5"/>
        </w:numPr>
        <w:spacing w:after="0" w:line="240" w:lineRule="auto"/>
        <w:rPr>
          <w:lang w:val="en-GB" w:eastAsia="en-GB"/>
        </w:rPr>
      </w:pPr>
      <w:r>
        <w:rPr>
          <w:lang w:val="en-GB" w:eastAsia="en-GB"/>
        </w:rPr>
        <w:t>Create the number of primary filegroups as determined earlier.</w:t>
      </w:r>
    </w:p>
    <w:p w14:paraId="753BBE37" w14:textId="77777777" w:rsidR="00BF2700" w:rsidRDefault="00BF2700" w:rsidP="00BF2700">
      <w:pPr>
        <w:pStyle w:val="ListParagraph"/>
        <w:numPr>
          <w:ilvl w:val="1"/>
          <w:numId w:val="5"/>
        </w:numPr>
        <w:spacing w:after="0" w:line="240" w:lineRule="auto"/>
        <w:rPr>
          <w:lang w:val="en-GB" w:eastAsia="en-GB"/>
        </w:rPr>
      </w:pPr>
      <w:r>
        <w:rPr>
          <w:lang w:val="en-GB" w:eastAsia="en-GB"/>
        </w:rPr>
        <w:t xml:space="preserve">Create one </w:t>
      </w:r>
      <w:r w:rsidRPr="00B0173A">
        <w:rPr>
          <w:lang w:val="en-GB" w:eastAsia="en-GB"/>
        </w:rPr>
        <w:t xml:space="preserve">staging </w:t>
      </w:r>
      <w:r>
        <w:rPr>
          <w:lang w:val="en-GB" w:eastAsia="en-GB"/>
        </w:rPr>
        <w:t>heap table in each primary filegroup for each partition range, with no compression. Create a constraint on the staging table that matches the corresponding partition range from the destination table. Using the example given earlier, there would be three staging tables per primary filegroup created in this step.</w:t>
      </w:r>
    </w:p>
    <w:p w14:paraId="0FFD3FC4" w14:textId="77777777" w:rsidR="00BF2700" w:rsidRDefault="00BF2700" w:rsidP="00BF2700">
      <w:pPr>
        <w:pStyle w:val="ListParagraph"/>
        <w:numPr>
          <w:ilvl w:val="1"/>
          <w:numId w:val="5"/>
        </w:numPr>
        <w:spacing w:after="0" w:line="240" w:lineRule="auto"/>
        <w:rPr>
          <w:lang w:val="en-GB" w:eastAsia="en-GB"/>
        </w:rPr>
      </w:pPr>
      <w:r>
        <w:rPr>
          <w:lang w:val="en-GB" w:eastAsia="en-GB"/>
        </w:rPr>
        <w:t>Create the destination, partitioned cluster index table with page compression. This table should be partitioned across all primary filegroups. Partitions should align with the heap staging table constraint ranges.</w:t>
      </w:r>
    </w:p>
    <w:p w14:paraId="0183F861" w14:textId="77777777" w:rsidR="00BF2700" w:rsidRDefault="00BF2700" w:rsidP="00BF2700">
      <w:pPr>
        <w:pStyle w:val="ListParagraph"/>
        <w:numPr>
          <w:ilvl w:val="1"/>
          <w:numId w:val="5"/>
        </w:numPr>
        <w:spacing w:after="0" w:line="240" w:lineRule="auto"/>
        <w:rPr>
          <w:lang w:val="en-GB" w:eastAsia="en-GB"/>
        </w:rPr>
      </w:pPr>
      <w:r>
        <w:rPr>
          <w:lang w:val="en-GB" w:eastAsia="en-GB"/>
        </w:rPr>
        <w:t>Execute one INSERT or SELECT statement from the base staging table to the staging filegroup tables for each primary filegroup. This should be done in parallel. Be sure that the predicate for the INSERT or SELECT statement matches the corresponding partition ranges. Never run more than one INSERT or SELECT statement per filegroup concurrently.</w:t>
      </w:r>
    </w:p>
    <w:p w14:paraId="3EDC613A" w14:textId="77777777" w:rsidR="00BF2700" w:rsidRPr="001703CF" w:rsidRDefault="00BF2700" w:rsidP="00BF2700">
      <w:pPr>
        <w:pStyle w:val="ListParagraph"/>
        <w:numPr>
          <w:ilvl w:val="1"/>
          <w:numId w:val="5"/>
        </w:numPr>
        <w:spacing w:after="0" w:line="240" w:lineRule="auto"/>
        <w:rPr>
          <w:lang w:val="en-GB" w:eastAsia="en-GB"/>
        </w:rPr>
      </w:pPr>
      <w:r>
        <w:rPr>
          <w:lang w:val="en-GB" w:eastAsia="en-GB"/>
        </w:rPr>
        <w:t>Execute one CREATE CLUSTERED INDEX command with page compression per filegroup for</w:t>
      </w:r>
      <w:r w:rsidRPr="00B0173A">
        <w:rPr>
          <w:lang w:val="en-GB" w:eastAsia="en-GB"/>
        </w:rPr>
        <w:t xml:space="preserve"> the </w:t>
      </w:r>
      <w:r>
        <w:rPr>
          <w:lang w:val="en-GB" w:eastAsia="en-GB"/>
        </w:rPr>
        <w:t xml:space="preserve">newly populated staging tables. This can be done in parallel but never with DOP higher than 8. Never run more than one create index per filegroup concurrently. </w:t>
      </w:r>
      <w:r w:rsidRPr="00B0173A">
        <w:rPr>
          <w:lang w:val="en-GB" w:eastAsia="en-GB"/>
        </w:rPr>
        <w:t>Be sure to use the SORT_IN_TEMPDB option whenever performing a CREATE INDEX operation to avoid fragmenting the</w:t>
      </w:r>
      <w:r>
        <w:rPr>
          <w:lang w:val="en-GB" w:eastAsia="en-GB"/>
        </w:rPr>
        <w:t xml:space="preserve"> primary filegroups</w:t>
      </w:r>
      <w:r w:rsidRPr="00B0173A">
        <w:rPr>
          <w:lang w:val="en-GB" w:eastAsia="en-GB"/>
        </w:rPr>
        <w:t>.</w:t>
      </w:r>
      <w:r>
        <w:rPr>
          <w:lang w:val="en-GB" w:eastAsia="en-GB"/>
        </w:rPr>
        <w:t xml:space="preserve"> The optimal number of concurrent create index operations will depend on server size, memory, and the data itself. In general, strive for high CPU utilization across all cores without oversubscribing (85-90 percent total utilization).</w:t>
      </w:r>
    </w:p>
    <w:p w14:paraId="278ACC8F" w14:textId="77777777" w:rsidR="00BF2700" w:rsidRPr="001D5B33" w:rsidRDefault="00BF2700" w:rsidP="00BF2700">
      <w:pPr>
        <w:pStyle w:val="ListParagraph"/>
        <w:numPr>
          <w:ilvl w:val="1"/>
          <w:numId w:val="5"/>
        </w:numPr>
        <w:spacing w:after="0" w:line="240" w:lineRule="auto"/>
      </w:pPr>
      <w:r w:rsidRPr="001703CF">
        <w:rPr>
          <w:lang w:val="en-GB" w:eastAsia="en-GB"/>
        </w:rPr>
        <w:t xml:space="preserve">Execute </w:t>
      </w:r>
      <w:r>
        <w:rPr>
          <w:lang w:val="en-GB" w:eastAsia="en-GB"/>
        </w:rPr>
        <w:t xml:space="preserve">serial </w:t>
      </w:r>
      <w:r w:rsidRPr="001703CF">
        <w:rPr>
          <w:lang w:val="en-GB" w:eastAsia="en-GB"/>
        </w:rPr>
        <w:t xml:space="preserve">partition switch operations </w:t>
      </w:r>
      <w:r>
        <w:rPr>
          <w:lang w:val="en-GB" w:eastAsia="en-GB"/>
        </w:rPr>
        <w:t>from the staging tables</w:t>
      </w:r>
      <w:r w:rsidRPr="001703CF">
        <w:rPr>
          <w:lang w:val="en-GB" w:eastAsia="en-GB"/>
        </w:rPr>
        <w:t xml:space="preserve"> </w:t>
      </w:r>
      <w:r>
        <w:rPr>
          <w:lang w:val="en-GB" w:eastAsia="en-GB"/>
        </w:rPr>
        <w:t>to the destination table. This can also be done at the completion of each staging CREATE INDEX operation.</w:t>
      </w:r>
    </w:p>
    <w:p w14:paraId="12D64AC4" w14:textId="77777777" w:rsidR="00BF2700" w:rsidRDefault="00BF2700" w:rsidP="00BF2700">
      <w:pPr>
        <w:pStyle w:val="Heading4"/>
      </w:pPr>
      <w:r>
        <w:t>Examples</w:t>
      </w:r>
    </w:p>
    <w:p w14:paraId="41FEF940" w14:textId="77777777" w:rsidR="00BF2700" w:rsidRDefault="00BF2700" w:rsidP="00BF2700">
      <w:r>
        <w:t xml:space="preserve">For more information about data loading and optimizations, see </w:t>
      </w:r>
      <w:hyperlink r:id="rId30" w:history="1">
        <w:r w:rsidRPr="00161DC5">
          <w:rPr>
            <w:rStyle w:val="Hyperlink"/>
          </w:rPr>
          <w:t>The SQL Server 2008 Data Loading Performance Guide</w:t>
        </w:r>
      </w:hyperlink>
      <w:r>
        <w:t xml:space="preserve">. </w:t>
      </w:r>
    </w:p>
    <w:p w14:paraId="6DACE0FE" w14:textId="77777777" w:rsidR="00BF2700" w:rsidRDefault="00BF2700" w:rsidP="00BF2700">
      <w:r>
        <w:t>An additional resource describing Fast Track incremental and migration load scenarios compatible with Fast Track 2.0 and F</w:t>
      </w:r>
      <w:r w:rsidR="00E40D67">
        <w:t>ast Track 3.0 is provided in a</w:t>
      </w:r>
      <w:r>
        <w:t xml:space="preserve"> Microsoft PowerPoint presentation </w:t>
      </w:r>
      <w:r w:rsidR="00E40D67">
        <w:t xml:space="preserve">“FTDW 3.0 Data Loading Overview” that can be found at the </w:t>
      </w:r>
      <w:hyperlink r:id="rId31" w:history="1">
        <w:r w:rsidR="00E40D67" w:rsidRPr="00E40D67">
          <w:rPr>
            <w:rStyle w:val="Hyperlink"/>
          </w:rPr>
          <w:t>SQL Server 2008 R2 Fast Track Portal</w:t>
        </w:r>
      </w:hyperlink>
      <w:r w:rsidR="00E40D67">
        <w:t>.</w:t>
      </w:r>
    </w:p>
    <w:p w14:paraId="1C405AD3" w14:textId="77777777" w:rsidR="00BF2700" w:rsidRDefault="00BF2700" w:rsidP="00BF2700">
      <w:pPr>
        <w:pStyle w:val="Heading1"/>
      </w:pPr>
      <w:bookmarkStart w:id="21" w:name="_Toc284834177"/>
      <w:r>
        <w:lastRenderedPageBreak/>
        <w:t>Benchmarking and Validation</w:t>
      </w:r>
      <w:bookmarkEnd w:id="21"/>
    </w:p>
    <w:p w14:paraId="6BE90F84" w14:textId="77777777" w:rsidR="00BF2700" w:rsidRDefault="00BF2700" w:rsidP="00BF2700">
      <w:r>
        <w:t>This section describes the metrics and processes used to design and qualify SQL Server Fast Track DW reference architectures. The process for FTDW validation can be divided into the two categories described here.</w:t>
      </w:r>
    </w:p>
    <w:p w14:paraId="67052400" w14:textId="77777777" w:rsidR="00BF2700" w:rsidRDefault="00BF2700" w:rsidP="00BF2700">
      <w:pPr>
        <w:pStyle w:val="Heading4"/>
      </w:pPr>
      <w:r>
        <w:t>Baseline Hardware</w:t>
      </w:r>
      <w:r w:rsidRPr="00AE435A">
        <w:t xml:space="preserve"> </w:t>
      </w:r>
      <w:r>
        <w:t>Validation</w:t>
      </w:r>
    </w:p>
    <w:p w14:paraId="4B430750" w14:textId="77777777" w:rsidR="00BF2700" w:rsidRDefault="00BF2700" w:rsidP="00BF2700">
      <w:r>
        <w:t xml:space="preserve">The goal of hardware validation is to establish real, rather than rated, performance metrics for the key hardware components of the Fast Track reference architecture. This process determines actual baseline performance characteristics of key hardware components in the database stack. </w:t>
      </w:r>
    </w:p>
    <w:p w14:paraId="657C76CE" w14:textId="77777777" w:rsidR="00BF2700" w:rsidRDefault="00BF2700" w:rsidP="00BF2700">
      <w:pPr>
        <w:pStyle w:val="Heading4"/>
      </w:pPr>
      <w:r>
        <w:t>Fast Track Database Validation</w:t>
      </w:r>
    </w:p>
    <w:p w14:paraId="72E6A881" w14:textId="77777777" w:rsidR="00BF2700" w:rsidRPr="000E0B04" w:rsidRDefault="00BF2700" w:rsidP="00BF2700">
      <w:r>
        <w:t>Establishing SQL Server performance characteristics, based on a FTDW workload, allows for comparison against the performance assumptions provided by the baseline hardware evaluation process. In general, database throughput metrics should reflect at least 80 percent of baseline rates for Fast Track validated reference architectures. The performance metrics calculated in this process are the basis for published FTDW performance values.</w:t>
      </w:r>
    </w:p>
    <w:p w14:paraId="15DB5DBE" w14:textId="77777777" w:rsidR="00BF2700" w:rsidRPr="002A17AC" w:rsidRDefault="00BF2700" w:rsidP="00BF2700">
      <w:pPr>
        <w:pStyle w:val="Heading3"/>
      </w:pPr>
      <w:r>
        <w:t>Performing Baseline Hardware Evaluation</w:t>
      </w:r>
    </w:p>
    <w:p w14:paraId="1BA805B0" w14:textId="77777777" w:rsidR="00BF2700" w:rsidRDefault="00BF2700" w:rsidP="00BF2700">
      <w:r>
        <w:t>Baseline hardware testing is done at the operating system level with a tool such as SQLIO. SQL Server application testing is not done in this phase, and all tests are synthetic, best-case scenarios. In addition, this methodology can be used to provide validation that a FTDW system deployment has been correctly configured.</w:t>
      </w:r>
    </w:p>
    <w:p w14:paraId="17EEE53D" w14:textId="77777777" w:rsidR="00BF2700" w:rsidRDefault="00BF2700" w:rsidP="00BF2700">
      <w:r>
        <w:t xml:space="preserve">Windows </w:t>
      </w:r>
      <w:r w:rsidRPr="00387DB1">
        <w:t>Server Perfor</w:t>
      </w:r>
      <w:r>
        <w:t>mance and Reliability Monitor (P</w:t>
      </w:r>
      <w:r w:rsidRPr="00387DB1">
        <w:t>erfmon) can be used to track, record</w:t>
      </w:r>
      <w:r>
        <w:t>,</w:t>
      </w:r>
      <w:r w:rsidRPr="00387DB1">
        <w:t xml:space="preserve"> and report on I</w:t>
      </w:r>
      <w:r>
        <w:t xml:space="preserve">/O performance. A tool such as </w:t>
      </w:r>
      <w:r w:rsidRPr="00387DB1">
        <w:t>SQLIO can be used to test I</w:t>
      </w:r>
      <w:r>
        <w:t>/</w:t>
      </w:r>
      <w:r w:rsidRPr="00387DB1">
        <w:t xml:space="preserve">O bandwidth. </w:t>
      </w:r>
      <w:r>
        <w:t xml:space="preserve">For more information about SQLIO, including instructions and download locations, see the SQLCAT white paper </w:t>
      </w:r>
      <w:hyperlink r:id="rId32" w:history="1">
        <w:r w:rsidRPr="006F2297">
          <w:rPr>
            <w:rStyle w:val="Hyperlink"/>
          </w:rPr>
          <w:t>Predeployment I/O Best Practices</w:t>
        </w:r>
      </w:hyperlink>
      <w:r>
        <w:t>.</w:t>
      </w:r>
    </w:p>
    <w:p w14:paraId="42DD26C2" w14:textId="77777777" w:rsidR="00BF2700" w:rsidRDefault="00BF2700" w:rsidP="00BF2700">
      <w:r>
        <w:t>The following components and validation processes are used to generate baseline hardware benchmarks.</w:t>
      </w:r>
    </w:p>
    <w:p w14:paraId="3924B2E6" w14:textId="77777777" w:rsidR="00BF2700" w:rsidRPr="008E4C4E" w:rsidRDefault="00BF2700" w:rsidP="00BF2700">
      <w:pPr>
        <w:pStyle w:val="Heading4"/>
      </w:pPr>
      <w:r>
        <w:t xml:space="preserve">Step 1 - </w:t>
      </w:r>
      <w:r w:rsidRPr="008E4C4E">
        <w:t>Validate Fib</w:t>
      </w:r>
      <w:r>
        <w:t>r</w:t>
      </w:r>
      <w:r w:rsidRPr="008E4C4E">
        <w:t>e Channel Bandwidth</w:t>
      </w:r>
    </w:p>
    <w:p w14:paraId="4FEFF3E6" w14:textId="77777777" w:rsidR="00BF2700" w:rsidRDefault="00BF2700" w:rsidP="00BF2700">
      <w:r>
        <w:t>The first step in validating a FTDW configuration is to determine the maximum aggregate throughput that can be realized between the storage I/O network and the server. This involves removing disk as a bottleneck and focusing on the nondisk components (that is, HBAs, switch infrastructure, and array controllers). Use the following steps to perform this task using SQLIO:</w:t>
      </w:r>
    </w:p>
    <w:p w14:paraId="436CB04C" w14:textId="77777777" w:rsidR="00BF2700" w:rsidRDefault="00BF2700" w:rsidP="00BF2700">
      <w:pPr>
        <w:pStyle w:val="ListParagraph"/>
        <w:numPr>
          <w:ilvl w:val="0"/>
          <w:numId w:val="18"/>
        </w:numPr>
      </w:pPr>
      <w:r>
        <w:t xml:space="preserve">Generate a small data file on each LUN to be used for database files. These files should be sized such that all data files will fit into the read cache on the array controllers (for example, 50 MB per file). </w:t>
      </w:r>
    </w:p>
    <w:p w14:paraId="3BB4231C" w14:textId="77777777" w:rsidR="00BF2700" w:rsidRDefault="00BF2700" w:rsidP="00BF2700">
      <w:pPr>
        <w:pStyle w:val="ListParagraph"/>
        <w:numPr>
          <w:ilvl w:val="0"/>
          <w:numId w:val="18"/>
        </w:numPr>
      </w:pPr>
      <w:r>
        <w:t>Use SQLIO to issue sequential reads against the file simultaneously using large block I/O sizes (512K) and at least two read threads per file. Be sure to calculate aggregate outstanding reads. For example, 2 read threads with 50 outstanding requests would account for 100 total outstanding requests to the target LUN.</w:t>
      </w:r>
    </w:p>
    <w:p w14:paraId="08B3B84D" w14:textId="77777777" w:rsidR="00BF2700" w:rsidRDefault="00BF2700" w:rsidP="00BF2700">
      <w:pPr>
        <w:pStyle w:val="ListParagraph"/>
        <w:numPr>
          <w:ilvl w:val="0"/>
          <w:numId w:val="18"/>
        </w:numPr>
      </w:pPr>
      <w:r>
        <w:lastRenderedPageBreak/>
        <w:t xml:space="preserve">Start with a relatively low value for outstanding I/Os (-o) and repeat tests increasing this value until there is no further gain in aggregate throughput. </w:t>
      </w:r>
    </w:p>
    <w:p w14:paraId="71B20E41" w14:textId="77777777" w:rsidR="00BF2700" w:rsidRDefault="00BF2700" w:rsidP="00BF2700">
      <w:r>
        <w:t>The goal of this test is to achieve aggregate throughput that is reasonable compared with the theoretical limits of the components in the path between the server and storage. This test validates the bandwidth between the server and the SAN storage processors – that is, the Multi-Path Fibre Channel paths.</w:t>
      </w:r>
    </w:p>
    <w:p w14:paraId="56D9BADD" w14:textId="77777777" w:rsidR="00BF2700" w:rsidRPr="008E4C4E" w:rsidRDefault="00BF2700" w:rsidP="00BF2700">
      <w:pPr>
        <w:pStyle w:val="Heading4"/>
      </w:pPr>
      <w:r>
        <w:t xml:space="preserve">Step 2 - </w:t>
      </w:r>
      <w:r w:rsidRPr="008E4C4E">
        <w:t xml:space="preserve">Validate LUN and RAID </w:t>
      </w:r>
      <w:r>
        <w:t>Pair B</w:t>
      </w:r>
      <w:r w:rsidRPr="008E4C4E">
        <w:t>andwidth</w:t>
      </w:r>
    </w:p>
    <w:p w14:paraId="79E295CF" w14:textId="77777777" w:rsidR="00BF2700" w:rsidRDefault="00BF2700" w:rsidP="00BF2700">
      <w:r>
        <w:t>This test is similar to the previous tests. However, a larger file is used to remove possible benefits from array cache from controller cache</w:t>
      </w:r>
      <w:r>
        <w:rPr>
          <w:rStyle w:val="CommentReference"/>
        </w:rPr>
        <w:t>.</w:t>
      </w:r>
      <w:r>
        <w:t xml:space="preserve"> These test files should be large enough to simulate the target database file size per LUN, for example, 25 GB per LUN. Similar parameters should be used for SQLIO as described in step 1. </w:t>
      </w:r>
    </w:p>
    <w:p w14:paraId="049A2B20" w14:textId="77777777" w:rsidR="00BF2700" w:rsidRDefault="00BF2700" w:rsidP="00BF2700">
      <w:r>
        <w:t>Large block (512 KB) sequential reads should be issued against the test files on each LUN. We recommend that you use a single thread per file with an outstanding request depth somewhere between 4 and 16 (start small and increase until maximum throughput is achieved). First test each LUN individually and then test the two simultaneously. Disk group throughput varies by storage vendor and configuration but comparison can always be made to single HDD read rates. A 4-disk RAID1+0 disk group, for example, should achieve a peak read rate of at least four times the single HDD read rate for this type of basic read pattern. If this is not achieved, it is possible that reads are not being serviced by both sides of the mirrored disk pair within the disk group. These mirrored reads are critical to FTDW scan performance.</w:t>
      </w:r>
    </w:p>
    <w:p w14:paraId="29752718" w14:textId="77777777" w:rsidR="00BF2700" w:rsidRPr="008E4C4E" w:rsidRDefault="00BF2700" w:rsidP="00BF2700">
      <w:pPr>
        <w:pStyle w:val="Heading4"/>
      </w:pPr>
      <w:r>
        <w:t xml:space="preserve">Step 3 - </w:t>
      </w:r>
      <w:r w:rsidRPr="008E4C4E">
        <w:t>Validate Aggregate Bandwidth</w:t>
      </w:r>
    </w:p>
    <w:p w14:paraId="0E698D9A" w14:textId="77777777" w:rsidR="00BF2700" w:rsidRDefault="00BF2700" w:rsidP="00BF2700">
      <w:r>
        <w:t xml:space="preserve">In this test, sequential reads should be run across all of the available data LUNs concurrently against the same files used in step 2. SQLIO should be run using two threads per test file, with an I/O size of 512K and an optimal number of outstanding I/Os as determined by the previous test. </w:t>
      </w:r>
    </w:p>
    <w:p w14:paraId="026A042C" w14:textId="77777777" w:rsidR="00BF2700" w:rsidRDefault="00BF2700" w:rsidP="00BF2700">
      <w:r>
        <w:t xml:space="preserve">The results of this test illustrate the maximum aggregate throughput achievable when reading data from the physical disks. </w:t>
      </w:r>
    </w:p>
    <w:p w14:paraId="382EBA71" w14:textId="77777777" w:rsidR="00BF2700" w:rsidRDefault="00BF2700" w:rsidP="00BF2700">
      <w:r>
        <w:t xml:space="preserve">Data is read from the large data file, as in the previous test, on each LUN simultaneously. </w:t>
      </w:r>
    </w:p>
    <w:p w14:paraId="73B34C34" w14:textId="77777777" w:rsidR="00BF2700" w:rsidRDefault="00BF2700" w:rsidP="00BF2700">
      <w:r>
        <w:t>Aggregate performance from disk should be in the region of 80 percent to 90 percent of the aggregate Fibre Channel bandwidth, for balanced FTDW systems.</w:t>
      </w:r>
    </w:p>
    <w:p w14:paraId="407F5EDA" w14:textId="77777777" w:rsidR="00BF2700" w:rsidRDefault="00BF2700" w:rsidP="00BF2700">
      <w:pPr>
        <w:pStyle w:val="Heading4"/>
      </w:pPr>
      <w:r>
        <w:t xml:space="preserve">Component Ratings </w:t>
      </w:r>
    </w:p>
    <w:p w14:paraId="7166A3B0" w14:textId="77777777" w:rsidR="00BF2700" w:rsidRDefault="00BF2700" w:rsidP="00BF2700">
      <w:r>
        <w:t>The following diagram illustrates synthetic benchmark results that are consistent with values seen in similar Fast Track reference architectures.</w:t>
      </w:r>
    </w:p>
    <w:p w14:paraId="09A2969E" w14:textId="77777777" w:rsidR="00BF2700" w:rsidRDefault="00BF2700" w:rsidP="00BF2700">
      <w:r>
        <w:rPr>
          <w:noProof/>
        </w:rPr>
        <w:lastRenderedPageBreak/>
        <w:drawing>
          <wp:inline distT="0" distB="0" distL="0" distR="0" wp14:anchorId="6414800A" wp14:editId="0180E863">
            <wp:extent cx="5304155" cy="481012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4155" cy="4810125"/>
                    </a:xfrm>
                    <a:prstGeom prst="rect">
                      <a:avLst/>
                    </a:prstGeom>
                    <a:noFill/>
                  </pic:spPr>
                </pic:pic>
              </a:graphicData>
            </a:graphic>
          </wp:inline>
        </w:drawing>
      </w:r>
    </w:p>
    <w:p w14:paraId="3D78F2A8" w14:textId="77777777" w:rsidR="00BF2700" w:rsidRPr="005908E0" w:rsidRDefault="00BF2700" w:rsidP="00BF2700">
      <w:r w:rsidRPr="00044A82">
        <w:rPr>
          <w:b/>
        </w:rPr>
        <w:t xml:space="preserve">Figure </w:t>
      </w:r>
      <w:r>
        <w:rPr>
          <w:b/>
        </w:rPr>
        <w:t>4</w:t>
      </w:r>
      <w:r w:rsidRPr="00044A82">
        <w:rPr>
          <w:b/>
        </w:rPr>
        <w:t>:</w:t>
      </w:r>
      <w:r>
        <w:t xml:space="preserve"> </w:t>
      </w:r>
      <w:r w:rsidRPr="00507F2E">
        <w:t xml:space="preserve">Example </w:t>
      </w:r>
      <w:r>
        <w:t>of synthetic benchmark realized bandwidth for a 2-socket, 12-core server with 3 8Gbps dual-port HBA cards, with 12 4-disk RAID1+0 primary data LUN.</w:t>
      </w:r>
    </w:p>
    <w:p w14:paraId="6401E6E7" w14:textId="77777777" w:rsidR="00BF2700" w:rsidRDefault="00BF2700" w:rsidP="00BF2700">
      <w:pPr>
        <w:pStyle w:val="Heading4"/>
      </w:pPr>
      <w:r>
        <w:t>Summary</w:t>
      </w:r>
    </w:p>
    <w:p w14:paraId="38041DE2" w14:textId="77777777" w:rsidR="00BF2700" w:rsidRPr="00582FCF" w:rsidRDefault="00BF2700" w:rsidP="00BF2700">
      <w:r>
        <w:t>Baseline hardware benchmarking validates the actual bandwidth capability for the key hardware components of the database stack. This is done with a series of best-case synthetic tests executed through a tool like SQLIO.</w:t>
      </w:r>
    </w:p>
    <w:p w14:paraId="10FB4B82" w14:textId="77777777" w:rsidR="00BF2700" w:rsidRDefault="00BF2700" w:rsidP="00BF2700">
      <w:pPr>
        <w:pStyle w:val="Heading3"/>
      </w:pPr>
      <w:r>
        <w:t>Performing Fast Track Database Validation</w:t>
      </w:r>
    </w:p>
    <w:p w14:paraId="138C7CFE" w14:textId="77777777" w:rsidR="00BF2700" w:rsidRDefault="00BF2700" w:rsidP="00BF2700">
      <w:r>
        <w:t>This phase of Fast Track validation measures SQL Server performance for the FTDW workload in terms of two core metrics. The first, Maximum CPU Consumption Rate (MCR), is a measure of peak I/O processing throughput. The second, Benchmark CPU Consumption Rate (BCR) is a measure of actual I/O processing throughput for a query or a query-based workload.</w:t>
      </w:r>
    </w:p>
    <w:p w14:paraId="0FA3C9AF" w14:textId="77777777" w:rsidR="00BF2700" w:rsidRDefault="00BF2700" w:rsidP="00BF2700">
      <w:pPr>
        <w:pStyle w:val="Heading4"/>
      </w:pPr>
      <w:r>
        <w:t>What is MCR?</w:t>
      </w:r>
    </w:p>
    <w:p w14:paraId="197CF4E6" w14:textId="77777777" w:rsidR="00BF2700" w:rsidRDefault="00BF2700" w:rsidP="00BF2700">
      <w:r>
        <w:t xml:space="preserve">The MCR calculation provides a per-core I/O throughput value in MB or GB per second. This value is measured by executing a predefined, read-only, nonoptimized query, from buffer cache and measuring the time to execute against the amount of data in MB or GB. Because MCR is run from cache it represents the peak nonoptimized scan rate achievable through SQL Server </w:t>
      </w:r>
      <w:r>
        <w:lastRenderedPageBreak/>
        <w:t>for the FTDW workload the query represents and the hardware stack being evaluated. Additionally, MCR can be used as a reference point when comparing the same standardized metric from any published and validated FTDW reference architecture. This does mean, however, that MCR is not representative of results for an actual customer workload. Rather, MCR provides a baseline peak rate for comparison and design purposes. For example, if the database stack being evaluated does not provide total disk I/O that is comparable to the MCR rating for the server, the system may be under-provisioned for storage I/O. Validated FTDW 3.0 architectures will have aggregate baseline I/O throughput results that are at least 100 percent of the server-rated MCR.</w:t>
      </w:r>
    </w:p>
    <w:p w14:paraId="69CBE97A" w14:textId="77777777" w:rsidR="00BF2700" w:rsidRPr="00566CAD" w:rsidRDefault="00BF2700" w:rsidP="00BF2700">
      <w:r w:rsidRPr="00C66BF7">
        <w:t xml:space="preserve">In summary: </w:t>
      </w:r>
    </w:p>
    <w:p w14:paraId="4EC8E9ED" w14:textId="77777777" w:rsidR="00BF2700" w:rsidRPr="00566CAD" w:rsidRDefault="00BF2700" w:rsidP="00BF2700">
      <w:pPr>
        <w:pStyle w:val="ListParagraph"/>
        <w:numPr>
          <w:ilvl w:val="0"/>
          <w:numId w:val="39"/>
        </w:numPr>
      </w:pPr>
      <w:r w:rsidRPr="00C66BF7">
        <w:t xml:space="preserve">MCR is not definitive of actual results for a customer workload. </w:t>
      </w:r>
    </w:p>
    <w:p w14:paraId="0CC30590" w14:textId="77777777" w:rsidR="00BF2700" w:rsidRPr="00566CAD" w:rsidRDefault="00BF2700" w:rsidP="00BF2700">
      <w:pPr>
        <w:pStyle w:val="ListParagraph"/>
        <w:numPr>
          <w:ilvl w:val="0"/>
          <w:numId w:val="39"/>
        </w:numPr>
      </w:pPr>
      <w:r w:rsidRPr="00C66BF7">
        <w:t>MCR provides a maximum data processing rate baseline for SQL Server and the associated Fast Track workload.</w:t>
      </w:r>
    </w:p>
    <w:p w14:paraId="30B91E56" w14:textId="77777777" w:rsidR="00BF2700" w:rsidRPr="00566CAD" w:rsidRDefault="00BF2700" w:rsidP="00BF2700">
      <w:pPr>
        <w:pStyle w:val="ListParagraph"/>
        <w:numPr>
          <w:ilvl w:val="0"/>
          <w:numId w:val="39"/>
        </w:numPr>
      </w:pPr>
      <w:r w:rsidRPr="00C66BF7">
        <w:t>MCR is specific to a CPU and server. In general, rates for a given CPU do not vary greatly by server and motherboard architecture but final MCR should be determined by actual testing.</w:t>
      </w:r>
    </w:p>
    <w:p w14:paraId="48CD857C" w14:textId="77777777" w:rsidR="00BF2700" w:rsidRPr="00566CAD" w:rsidRDefault="00BF2700" w:rsidP="00BF2700">
      <w:pPr>
        <w:pStyle w:val="ListParagraph"/>
        <w:numPr>
          <w:ilvl w:val="0"/>
          <w:numId w:val="39"/>
        </w:numPr>
      </w:pPr>
      <w:r w:rsidRPr="00C66BF7">
        <w:t>MCR throughput rating can be used as a comparative value against existing, published FTDW reference architectures. This can assist with hardware selection prior to component and application testing.</w:t>
      </w:r>
    </w:p>
    <w:p w14:paraId="0F86C163" w14:textId="77777777" w:rsidR="00BF2700" w:rsidRPr="00CF2CD8" w:rsidRDefault="00BF2700" w:rsidP="00BF2700">
      <w:pPr>
        <w:pStyle w:val="Heading4"/>
      </w:pPr>
      <w:r w:rsidRPr="00CF2CD8">
        <w:t>Calculating MCR</w:t>
      </w:r>
    </w:p>
    <w:p w14:paraId="3FB5B68D" w14:textId="77777777" w:rsidR="00BF2700" w:rsidRDefault="00BF2700" w:rsidP="00BF2700">
      <w:r>
        <w:t>A baseline CPU consumption rate for the SQL Server application is established by running a standard SQL query defined for the FTDW program. This query is designed to be a relatively simple representation of a typical query for the workload type (in this case DW) and is run from buffer cache. The resulting value is specific to the CPU and the server the query is being executed against. Use the following method to calculate MCR:</w:t>
      </w:r>
    </w:p>
    <w:p w14:paraId="392912EB" w14:textId="77777777" w:rsidR="00BF2700" w:rsidRDefault="00BF2700" w:rsidP="00BF2700">
      <w:pPr>
        <w:pStyle w:val="ListParagraph"/>
        <w:numPr>
          <w:ilvl w:val="0"/>
          <w:numId w:val="23"/>
        </w:numPr>
      </w:pPr>
      <w:r>
        <w:t xml:space="preserve">Create a reference dataset based on the TPC-H lineitem table or similar data set. The table should be of a size that it can be entirely cached in the SQL Server buffer pool yet still maintain a minimum two-second execution time for the query provided here. </w:t>
      </w:r>
    </w:p>
    <w:p w14:paraId="77C79716" w14:textId="77777777" w:rsidR="00BF2700" w:rsidRDefault="00BF2700" w:rsidP="00BF2700">
      <w:pPr>
        <w:pStyle w:val="ListParagraph"/>
        <w:numPr>
          <w:ilvl w:val="0"/>
          <w:numId w:val="23"/>
        </w:numPr>
      </w:pPr>
      <w:r>
        <w:t>For FTDW 3.0 the following query is used:</w:t>
      </w:r>
      <w:r w:rsidRPr="002B29EF">
        <w:rPr>
          <w:i/>
        </w:rPr>
        <w:t xml:space="preserve"> </w:t>
      </w:r>
      <w:r>
        <w:rPr>
          <w:i/>
        </w:rPr>
        <w:t>SELECT</w:t>
      </w:r>
      <w:r w:rsidRPr="002B29EF">
        <w:rPr>
          <w:i/>
        </w:rPr>
        <w:t xml:space="preserve"> sum([integer field]) </w:t>
      </w:r>
      <w:r>
        <w:rPr>
          <w:i/>
        </w:rPr>
        <w:t>FROM</w:t>
      </w:r>
      <w:r w:rsidRPr="002B29EF">
        <w:rPr>
          <w:i/>
        </w:rPr>
        <w:t xml:space="preserve"> [table] </w:t>
      </w:r>
      <w:r>
        <w:rPr>
          <w:i/>
        </w:rPr>
        <w:t>WHERE [restrict to appropriate data volume</w:t>
      </w:r>
      <w:r w:rsidRPr="002B29EF">
        <w:rPr>
          <w:i/>
        </w:rPr>
        <w:t xml:space="preserve">] </w:t>
      </w:r>
      <w:r>
        <w:rPr>
          <w:i/>
        </w:rPr>
        <w:t>GROUP BY</w:t>
      </w:r>
      <w:r w:rsidRPr="002B29EF">
        <w:rPr>
          <w:i/>
        </w:rPr>
        <w:t xml:space="preserve"> [col].</w:t>
      </w:r>
      <w:r>
        <w:t xml:space="preserve"> </w:t>
      </w:r>
    </w:p>
    <w:p w14:paraId="3EFC1F67" w14:textId="77777777" w:rsidR="00BF2700" w:rsidRDefault="00BF2700" w:rsidP="00BF2700">
      <w:pPr>
        <w:pStyle w:val="ListParagraph"/>
        <w:numPr>
          <w:ilvl w:val="0"/>
          <w:numId w:val="23"/>
        </w:numPr>
      </w:pPr>
      <w:r>
        <w:t>The environment should:</w:t>
      </w:r>
    </w:p>
    <w:p w14:paraId="694D885C" w14:textId="77777777" w:rsidR="00BF2700" w:rsidRDefault="00BF2700" w:rsidP="00BF2700">
      <w:pPr>
        <w:pStyle w:val="ListParagraph"/>
        <w:numPr>
          <w:ilvl w:val="1"/>
          <w:numId w:val="23"/>
        </w:numPr>
      </w:pPr>
      <w:r>
        <w:t>Ensure that Resource Governor settings are at default values.</w:t>
      </w:r>
    </w:p>
    <w:p w14:paraId="5E75185F" w14:textId="77777777" w:rsidR="00BF2700" w:rsidRDefault="00BF2700" w:rsidP="00BF2700">
      <w:pPr>
        <w:pStyle w:val="ListParagraph"/>
        <w:numPr>
          <w:ilvl w:val="1"/>
          <w:numId w:val="23"/>
        </w:numPr>
      </w:pPr>
      <w:r>
        <w:t>Ensure that the query is executing from the buffer cache. Executing the query once should put the pages into the buffer, and subsequent executions should read fully from buffer. Validate that there are no physical reads in the query statistics output.</w:t>
      </w:r>
    </w:p>
    <w:p w14:paraId="4D34E461" w14:textId="77777777" w:rsidR="00BF2700" w:rsidRDefault="00BF2700" w:rsidP="00BF2700">
      <w:pPr>
        <w:pStyle w:val="ListParagraph"/>
        <w:numPr>
          <w:ilvl w:val="1"/>
          <w:numId w:val="23"/>
        </w:numPr>
      </w:pPr>
      <w:r>
        <w:t>Set STATISTICS IO and STATISTICS TIME to ON to output results.</w:t>
      </w:r>
    </w:p>
    <w:p w14:paraId="012A3E59" w14:textId="77777777" w:rsidR="00BF2700" w:rsidRDefault="00BF2700" w:rsidP="00BF2700">
      <w:pPr>
        <w:pStyle w:val="ListParagraph"/>
        <w:numPr>
          <w:ilvl w:val="0"/>
          <w:numId w:val="23"/>
        </w:numPr>
      </w:pPr>
      <w:r>
        <w:t xml:space="preserve">Run the query multiple times, at MAXDOP = 4. </w:t>
      </w:r>
    </w:p>
    <w:p w14:paraId="4CA69F64" w14:textId="77777777" w:rsidR="00BF2700" w:rsidRDefault="00BF2700" w:rsidP="00BF2700">
      <w:pPr>
        <w:pStyle w:val="ListParagraph"/>
        <w:numPr>
          <w:ilvl w:val="1"/>
          <w:numId w:val="23"/>
        </w:numPr>
      </w:pPr>
      <w:r>
        <w:t>Record the number of logical reads and CPU time from the statistics output for each query execution.</w:t>
      </w:r>
    </w:p>
    <w:p w14:paraId="2F3DAEF9" w14:textId="77777777" w:rsidR="00BF2700" w:rsidRDefault="00BF2700" w:rsidP="00BF2700">
      <w:pPr>
        <w:pStyle w:val="ListParagraph"/>
        <w:numPr>
          <w:ilvl w:val="1"/>
          <w:numId w:val="23"/>
        </w:numPr>
      </w:pPr>
      <w:r>
        <w:t>Calculate the MCR in MB/s using the formula:</w:t>
      </w:r>
      <w:r>
        <w:br/>
      </w:r>
      <w:r w:rsidRPr="00D938E6">
        <w:tab/>
        <w:t>(</w:t>
      </w:r>
      <w:r>
        <w:t xml:space="preserve"> </w:t>
      </w:r>
      <w:r w:rsidRPr="00D938E6">
        <w:t>[Logical reads]</w:t>
      </w:r>
      <w:r>
        <w:t xml:space="preserve"> </w:t>
      </w:r>
      <w:r w:rsidRPr="00D938E6">
        <w:t>/</w:t>
      </w:r>
      <w:r>
        <w:t xml:space="preserve"> </w:t>
      </w:r>
      <w:r w:rsidRPr="00D938E6">
        <w:t>[CPU time</w:t>
      </w:r>
      <w:r>
        <w:t xml:space="preserve"> in seconds</w:t>
      </w:r>
      <w:r w:rsidRPr="00D938E6">
        <w:t>]</w:t>
      </w:r>
      <w:r>
        <w:t xml:space="preserve"> </w:t>
      </w:r>
      <w:r w:rsidRPr="00D938E6">
        <w:t>) * 8KB / 1024</w:t>
      </w:r>
    </w:p>
    <w:p w14:paraId="6C6E5E1F" w14:textId="77777777" w:rsidR="00BF2700" w:rsidRDefault="00BF2700" w:rsidP="00BF2700">
      <w:pPr>
        <w:pStyle w:val="ListParagraph"/>
        <w:numPr>
          <w:ilvl w:val="1"/>
          <w:numId w:val="23"/>
        </w:numPr>
      </w:pPr>
      <w:r>
        <w:lastRenderedPageBreak/>
        <w:t>A consistent range of values (+/- 5%) should appear over a minimum of five query executions. Significant outliers (+/- 20% or more) may indicate configuration issues. The average of at least 5 calculated results is the FTDW MCR.</w:t>
      </w:r>
    </w:p>
    <w:p w14:paraId="611DB908" w14:textId="77777777" w:rsidR="00BF2700" w:rsidRPr="002B147C" w:rsidRDefault="00BF2700" w:rsidP="00BF2700">
      <w:pPr>
        <w:rPr>
          <w:i/>
        </w:rPr>
      </w:pPr>
    </w:p>
    <w:p w14:paraId="4C5045CA" w14:textId="77777777" w:rsidR="00BF2700" w:rsidRDefault="00BF2700" w:rsidP="00BF2700">
      <w:pPr>
        <w:rPr>
          <w:noProof/>
        </w:rPr>
      </w:pPr>
      <w:r>
        <w:t>Based</w:t>
      </w:r>
      <w:r>
        <w:rPr>
          <w:noProof/>
        </w:rPr>
        <w:t xml:space="preserve"> on the MCR calcuation, a component architecture throughput diagram can be constructed. For the purposes of system MCR evaluation, component throughput is based on vendor-rated bandwidth. This diagram can be useful for system design, selection, and bottleneck analysis. Figure 5 illustrates an example of this.</w:t>
      </w:r>
    </w:p>
    <w:p w14:paraId="3E924713" w14:textId="77777777" w:rsidR="00BF2700" w:rsidRDefault="00BF2700" w:rsidP="00BF2700">
      <w:pPr>
        <w:rPr>
          <w:noProof/>
        </w:rPr>
      </w:pPr>
      <w:r>
        <w:rPr>
          <w:noProof/>
        </w:rPr>
        <w:drawing>
          <wp:inline distT="0" distB="0" distL="0" distR="0" wp14:anchorId="495FCEE5" wp14:editId="7B90F21E">
            <wp:extent cx="5304155" cy="476123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155" cy="4761230"/>
                    </a:xfrm>
                    <a:prstGeom prst="rect">
                      <a:avLst/>
                    </a:prstGeom>
                    <a:noFill/>
                  </pic:spPr>
                </pic:pic>
              </a:graphicData>
            </a:graphic>
          </wp:inline>
        </w:drawing>
      </w:r>
    </w:p>
    <w:p w14:paraId="0CBD84F0" w14:textId="77777777" w:rsidR="00BF2700" w:rsidRPr="00507F2E" w:rsidRDefault="00BF2700" w:rsidP="00BF2700">
      <w:r w:rsidRPr="00044A82">
        <w:rPr>
          <w:b/>
        </w:rPr>
        <w:t xml:space="preserve">Figure </w:t>
      </w:r>
      <w:r>
        <w:rPr>
          <w:b/>
        </w:rPr>
        <w:t>5</w:t>
      </w:r>
      <w:r>
        <w:t xml:space="preserve">: </w:t>
      </w:r>
      <w:r w:rsidRPr="00507F2E">
        <w:t xml:space="preserve">Example </w:t>
      </w:r>
      <w:r>
        <w:t xml:space="preserve">of </w:t>
      </w:r>
      <w:r w:rsidRPr="009F5916">
        <w:t>Maximum CPU Consumption Rate (MCR)</w:t>
      </w:r>
      <w:r w:rsidRPr="00A014B4">
        <w:t xml:space="preserve"> and</w:t>
      </w:r>
      <w:r>
        <w:t xml:space="preserve"> rated component bandwidth for a 2 socket, 12 core server based on Intel Westmere CPUs.</w:t>
      </w:r>
    </w:p>
    <w:p w14:paraId="5DA1A747" w14:textId="77777777" w:rsidR="00BF2700" w:rsidRDefault="00BF2700" w:rsidP="00BF2700">
      <w:r>
        <w:t xml:space="preserve">For more information about measuring MCR, see </w:t>
      </w:r>
      <w:hyperlink w:anchor="_Workload_Testing" w:history="1">
        <w:r w:rsidRPr="009F5916">
          <w:rPr>
            <w:rStyle w:val="Hyperlink"/>
          </w:rPr>
          <w:t>Workload Testing</w:t>
        </w:r>
      </w:hyperlink>
      <w:r>
        <w:t xml:space="preserve"> in the appendix.</w:t>
      </w:r>
    </w:p>
    <w:p w14:paraId="1D9B428F" w14:textId="77777777" w:rsidR="00BF2700" w:rsidRDefault="00BF2700" w:rsidP="00BF2700">
      <w:pPr>
        <w:pStyle w:val="Heading4"/>
      </w:pPr>
    </w:p>
    <w:p w14:paraId="685533C6" w14:textId="77777777" w:rsidR="00BF2700" w:rsidRDefault="00BF2700" w:rsidP="00BF2700"/>
    <w:p w14:paraId="27B02C3E" w14:textId="77777777" w:rsidR="00BF2700" w:rsidRDefault="00BF2700" w:rsidP="00BF2700">
      <w:pPr>
        <w:pStyle w:val="Heading4"/>
      </w:pPr>
      <w:r>
        <w:lastRenderedPageBreak/>
        <w:t>Calculating BCR</w:t>
      </w:r>
    </w:p>
    <w:p w14:paraId="2C9DFCEC" w14:textId="77777777" w:rsidR="00BF2700" w:rsidRDefault="00BF2700" w:rsidP="00BF2700">
      <w:r>
        <w:t xml:space="preserve">A benchmark CPU consumption rate for the SQL Server application is established by running a standard SQL query (or a set of queries) that are specific to your data warehouse workload. This query should be serviced from disk, not from the SQL Server buffer pool as with MCR. The resulting value is specific to the CPU, the server, and the workload it is being executed against. The appendix entry for </w:t>
      </w:r>
      <w:hyperlink w:anchor="_Workload_Testing" w:history="1">
        <w:r w:rsidRPr="00FC441D">
          <w:rPr>
            <w:rStyle w:val="Hyperlink"/>
          </w:rPr>
          <w:t>Workload Testing</w:t>
        </w:r>
      </w:hyperlink>
      <w:r>
        <w:t xml:space="preserve"> provides a more detailed example of creating a BCR workload benchmark.</w:t>
      </w:r>
    </w:p>
    <w:p w14:paraId="43FCBEA1" w14:textId="77777777" w:rsidR="00BF2700" w:rsidRDefault="00BF2700" w:rsidP="00BF2700">
      <w:r>
        <w:t>Use the following method to calculate BCR:</w:t>
      </w:r>
    </w:p>
    <w:p w14:paraId="5229F89C" w14:textId="77777777" w:rsidR="00BF2700" w:rsidRDefault="00BF2700" w:rsidP="00BF2700">
      <w:pPr>
        <w:pStyle w:val="ListParagraph"/>
        <w:numPr>
          <w:ilvl w:val="0"/>
          <w:numId w:val="44"/>
        </w:numPr>
      </w:pPr>
      <w:r>
        <w:t>Create a reference dataset that contains at least one table. The table should be of significant enough size that it is not entirely cached in either the SQL Server buffer pool cache or in the SAN array cache. In absence of customer data, a synthetic dataset can be used. It is important to attempt to approximate the expected characteristics of the data for the targeted use case.</w:t>
      </w:r>
    </w:p>
    <w:p w14:paraId="2F335582" w14:textId="77777777" w:rsidR="00BF2700" w:rsidRDefault="00BF2700" w:rsidP="00BF2700">
      <w:pPr>
        <w:pStyle w:val="ListParagraph"/>
        <w:numPr>
          <w:ilvl w:val="0"/>
          <w:numId w:val="44"/>
        </w:numPr>
      </w:pPr>
      <w:r>
        <w:t>The basic query form for FTDW 3.0 is the following:</w:t>
      </w:r>
      <w:r w:rsidRPr="002B29EF">
        <w:rPr>
          <w:i/>
        </w:rPr>
        <w:t xml:space="preserve"> </w:t>
      </w:r>
      <w:r>
        <w:rPr>
          <w:i/>
        </w:rPr>
        <w:t>SELECT</w:t>
      </w:r>
      <w:r w:rsidRPr="002B29EF">
        <w:rPr>
          <w:i/>
        </w:rPr>
        <w:t xml:space="preserve"> sum([integer field]) </w:t>
      </w:r>
      <w:r>
        <w:rPr>
          <w:i/>
        </w:rPr>
        <w:t>FROM</w:t>
      </w:r>
      <w:r w:rsidRPr="002B29EF">
        <w:rPr>
          <w:i/>
        </w:rPr>
        <w:t xml:space="preserve"> [table] </w:t>
      </w:r>
      <w:r>
        <w:rPr>
          <w:i/>
        </w:rPr>
        <w:t>WHERE</w:t>
      </w:r>
      <w:r w:rsidRPr="002B29EF">
        <w:rPr>
          <w:i/>
        </w:rPr>
        <w:t xml:space="preserve"> </w:t>
      </w:r>
      <w:r>
        <w:rPr>
          <w:i/>
        </w:rPr>
        <w:t>[restrict to appropriate data volume</w:t>
      </w:r>
      <w:r w:rsidRPr="002B29EF">
        <w:rPr>
          <w:i/>
        </w:rPr>
        <w:t xml:space="preserve">] </w:t>
      </w:r>
      <w:r>
        <w:rPr>
          <w:i/>
        </w:rPr>
        <w:t>GROUP BY</w:t>
      </w:r>
      <w:r w:rsidRPr="002B29EF">
        <w:rPr>
          <w:i/>
        </w:rPr>
        <w:t xml:space="preserve"> [col].</w:t>
      </w:r>
      <w:r>
        <w:t xml:space="preserve"> </w:t>
      </w:r>
    </w:p>
    <w:p w14:paraId="5F643816" w14:textId="77777777" w:rsidR="00BF2700" w:rsidRDefault="00BF2700" w:rsidP="00BF2700">
      <w:pPr>
        <w:pStyle w:val="ListParagraph"/>
        <w:numPr>
          <w:ilvl w:val="0"/>
          <w:numId w:val="44"/>
        </w:numPr>
      </w:pPr>
      <w:r>
        <w:t>For a FTDW customer benchmark it is always ideal to choose a query that is representative of the target workload. Even better, multiple queries can also be selected and scheduled as concurrent query workload that is representative of peak historical or projected activity for the customer environment. The following criteria can be considered in query selection:</w:t>
      </w:r>
    </w:p>
    <w:p w14:paraId="22C8985C" w14:textId="77777777" w:rsidR="00BF2700" w:rsidRDefault="00BF2700" w:rsidP="00BF2700">
      <w:pPr>
        <w:pStyle w:val="ListParagraph"/>
        <w:numPr>
          <w:ilvl w:val="1"/>
          <w:numId w:val="25"/>
        </w:numPr>
      </w:pPr>
      <w:r>
        <w:t>Represent average target workload requirements. This may imply increasing or decreasing the complexity of the basic query form, adding joins, and/or discarding more or less data through projection and restriction.</w:t>
      </w:r>
    </w:p>
    <w:p w14:paraId="0489B846" w14:textId="77777777" w:rsidR="00BF2700" w:rsidRDefault="00BF2700" w:rsidP="00BF2700">
      <w:pPr>
        <w:pStyle w:val="ListParagraph"/>
        <w:numPr>
          <w:ilvl w:val="1"/>
          <w:numId w:val="25"/>
        </w:numPr>
      </w:pPr>
      <w:r>
        <w:t xml:space="preserve">The query should not cause writes of data to </w:t>
      </w:r>
      <w:r w:rsidRPr="007C60EB">
        <w:rPr>
          <w:b/>
        </w:rPr>
        <w:t>tempdb</w:t>
      </w:r>
      <w:r>
        <w:t xml:space="preserve"> unless this characteristic is a critical part of the target workload.</w:t>
      </w:r>
    </w:p>
    <w:p w14:paraId="326F0768" w14:textId="77777777" w:rsidR="00BF2700" w:rsidRDefault="00BF2700" w:rsidP="00BF2700">
      <w:pPr>
        <w:pStyle w:val="ListParagraph"/>
        <w:numPr>
          <w:ilvl w:val="1"/>
          <w:numId w:val="44"/>
        </w:numPr>
      </w:pPr>
      <w:r>
        <w:t>The query should return minimal rows. The SET ROWCOUNT option can be used to manage this. A ROWCOUNT value greater than 100 should be used (105 is standard for Fast Track benchmarking). Alternatively aggregation can be used to reduce records returned from large unrestricted scans.</w:t>
      </w:r>
    </w:p>
    <w:p w14:paraId="687C008A" w14:textId="77777777" w:rsidR="00BF2700" w:rsidRDefault="00BF2700" w:rsidP="00BF2700">
      <w:pPr>
        <w:pStyle w:val="ListParagraph"/>
        <w:numPr>
          <w:ilvl w:val="0"/>
          <w:numId w:val="44"/>
        </w:numPr>
      </w:pPr>
      <w:r>
        <w:t>The environment should:</w:t>
      </w:r>
    </w:p>
    <w:p w14:paraId="782D8D37" w14:textId="77777777" w:rsidR="00BF2700" w:rsidRDefault="00BF2700" w:rsidP="00BF2700">
      <w:pPr>
        <w:pStyle w:val="ListParagraph"/>
        <w:numPr>
          <w:ilvl w:val="1"/>
          <w:numId w:val="44"/>
        </w:numPr>
      </w:pPr>
      <w:r>
        <w:t>Ensure that Resource Governor settings are set at default.</w:t>
      </w:r>
    </w:p>
    <w:p w14:paraId="068F6414" w14:textId="77777777" w:rsidR="00BF2700" w:rsidRDefault="00BF2700" w:rsidP="00BF2700">
      <w:pPr>
        <w:pStyle w:val="ListParagraph"/>
        <w:numPr>
          <w:ilvl w:val="1"/>
          <w:numId w:val="44"/>
        </w:numPr>
      </w:pPr>
      <w:r>
        <w:t xml:space="preserve">Ensure caches are cleared before the query is run, using </w:t>
      </w:r>
      <w:r>
        <w:rPr>
          <w:rFonts w:ascii="Courier New" w:hAnsi="Courier New" w:cs="Courier New"/>
        </w:rPr>
        <w:t>DBCC</w:t>
      </w:r>
      <w:r w:rsidRPr="00B0173A">
        <w:rPr>
          <w:rFonts w:ascii="Courier New" w:hAnsi="Courier New" w:cs="Courier New"/>
        </w:rPr>
        <w:t xml:space="preserve"> dropcleanbuffers</w:t>
      </w:r>
      <w:r>
        <w:t>.</w:t>
      </w:r>
    </w:p>
    <w:p w14:paraId="45FF18B9" w14:textId="77777777" w:rsidR="00BF2700" w:rsidRDefault="00BF2700" w:rsidP="00BF2700">
      <w:pPr>
        <w:pStyle w:val="ListParagraph"/>
        <w:numPr>
          <w:ilvl w:val="1"/>
          <w:numId w:val="44"/>
        </w:numPr>
      </w:pPr>
      <w:r>
        <w:t>Set STATISTICS IO and STATISTICS TIME to ON to output results.</w:t>
      </w:r>
    </w:p>
    <w:p w14:paraId="666459A8" w14:textId="77777777" w:rsidR="00BF2700" w:rsidRDefault="00BF2700" w:rsidP="00BF2700">
      <w:pPr>
        <w:pStyle w:val="ListParagraph"/>
        <w:numPr>
          <w:ilvl w:val="0"/>
          <w:numId w:val="44"/>
        </w:numPr>
      </w:pPr>
      <w:r>
        <w:t xml:space="preserve">Run the query or workload multiple times, starting at MAXDOP 8. Each time you run the query, increase the MAXDOP setting for the query, clearing caches between each run. </w:t>
      </w:r>
    </w:p>
    <w:p w14:paraId="32D063D0" w14:textId="77777777" w:rsidR="00BF2700" w:rsidRDefault="00BF2700" w:rsidP="00BF2700">
      <w:pPr>
        <w:pStyle w:val="ListParagraph"/>
        <w:numPr>
          <w:ilvl w:val="1"/>
          <w:numId w:val="44"/>
        </w:numPr>
      </w:pPr>
      <w:r>
        <w:t>Record the number of logical reads and CPU time from the statistics output.</w:t>
      </w:r>
    </w:p>
    <w:p w14:paraId="7F91FDF9" w14:textId="77777777" w:rsidR="00BF2700" w:rsidRDefault="00BF2700" w:rsidP="00BF2700">
      <w:pPr>
        <w:pStyle w:val="ListParagraph"/>
        <w:numPr>
          <w:ilvl w:val="1"/>
          <w:numId w:val="44"/>
        </w:numPr>
      </w:pPr>
      <w:r>
        <w:t>Calculate the BCR in MB/s using the formula:</w:t>
      </w:r>
      <w:r>
        <w:br/>
      </w:r>
      <w:r w:rsidRPr="00D938E6">
        <w:tab/>
        <w:t>(</w:t>
      </w:r>
      <w:r>
        <w:t xml:space="preserve"> </w:t>
      </w:r>
      <w:r w:rsidRPr="00D938E6">
        <w:t>[Logical reads]</w:t>
      </w:r>
      <w:r>
        <w:t xml:space="preserve"> </w:t>
      </w:r>
      <w:r w:rsidRPr="00D938E6">
        <w:t>/</w:t>
      </w:r>
      <w:r>
        <w:t xml:space="preserve"> </w:t>
      </w:r>
      <w:r w:rsidRPr="00D938E6">
        <w:t>[CPU time</w:t>
      </w:r>
      <w:r>
        <w:t xml:space="preserve"> in seconds</w:t>
      </w:r>
      <w:r w:rsidRPr="00D938E6">
        <w:t>]</w:t>
      </w:r>
      <w:r>
        <w:t xml:space="preserve"> </w:t>
      </w:r>
      <w:r w:rsidRPr="00D938E6">
        <w:t>) * 8KB / 1024</w:t>
      </w:r>
    </w:p>
    <w:p w14:paraId="1EC92A60" w14:textId="77777777" w:rsidR="00BF2700" w:rsidRPr="00CC0CED" w:rsidRDefault="00BF2700" w:rsidP="00BF2700">
      <w:pPr>
        <w:pStyle w:val="ListParagraph"/>
        <w:numPr>
          <w:ilvl w:val="1"/>
          <w:numId w:val="44"/>
        </w:numPr>
      </w:pPr>
      <w:r>
        <w:t>This gives you a range for BCR. If multiple queries are used, use a weighted average to determine BCR.</w:t>
      </w:r>
      <w:r>
        <w:br w:type="page"/>
      </w:r>
    </w:p>
    <w:p w14:paraId="266B7487" w14:textId="77777777" w:rsidR="00BF2700" w:rsidRDefault="00BF2700" w:rsidP="00BF2700">
      <w:pPr>
        <w:pStyle w:val="Heading4"/>
      </w:pPr>
      <w:r>
        <w:lastRenderedPageBreak/>
        <w:t>BCR Results</w:t>
      </w:r>
    </w:p>
    <w:p w14:paraId="036215BF" w14:textId="77777777" w:rsidR="00BF2700" w:rsidRDefault="00BF2700" w:rsidP="00BF2700">
      <w:r>
        <w:t xml:space="preserve">Figure 6 illustrates SQL Server workload based benchmark results that are consistent with values seen in similar Fast Track Data Warehouse reference architectures. </w:t>
      </w:r>
    </w:p>
    <w:p w14:paraId="64E8E46D" w14:textId="77777777" w:rsidR="00BF2700" w:rsidRDefault="00BF2700" w:rsidP="00BF2700"/>
    <w:p w14:paraId="55901199" w14:textId="77777777" w:rsidR="00BF2700" w:rsidRDefault="00BF2700" w:rsidP="00BF2700">
      <w:r>
        <w:rPr>
          <w:noProof/>
        </w:rPr>
        <w:drawing>
          <wp:inline distT="0" distB="0" distL="0" distR="0" wp14:anchorId="02A566C8" wp14:editId="1E64C021">
            <wp:extent cx="5304155" cy="476123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4155" cy="4761230"/>
                    </a:xfrm>
                    <a:prstGeom prst="rect">
                      <a:avLst/>
                    </a:prstGeom>
                    <a:noFill/>
                  </pic:spPr>
                </pic:pic>
              </a:graphicData>
            </a:graphic>
          </wp:inline>
        </w:drawing>
      </w:r>
    </w:p>
    <w:p w14:paraId="12FFF8EB" w14:textId="77777777" w:rsidR="00BF2700" w:rsidRPr="00FF4F00" w:rsidRDefault="00BF2700" w:rsidP="00BF2700"/>
    <w:p w14:paraId="00FD1D27" w14:textId="77777777" w:rsidR="00BF2700" w:rsidRPr="00507F2E" w:rsidRDefault="00BF2700" w:rsidP="00BF2700">
      <w:r w:rsidRPr="00044A82">
        <w:rPr>
          <w:b/>
        </w:rPr>
        <w:t>Figure 6:</w:t>
      </w:r>
      <w:r>
        <w:t xml:space="preserve"> </w:t>
      </w:r>
      <w:r w:rsidRPr="00507F2E">
        <w:t xml:space="preserve">Example </w:t>
      </w:r>
      <w:r>
        <w:t>of synthetic benchmark realized bandwidth for a 2-socket, 12-core server with 3 8Gbps dual-port HBA cards, with 12 4-disk RAID1+0 primary data LUN.</w:t>
      </w:r>
    </w:p>
    <w:p w14:paraId="0954031D" w14:textId="77777777" w:rsidR="00BF2700" w:rsidRDefault="00BF2700" w:rsidP="00BF2700">
      <w:pPr>
        <w:pStyle w:val="Heading4"/>
      </w:pPr>
      <w:r>
        <w:t>Interpreting BCR</w:t>
      </w:r>
    </w:p>
    <w:p w14:paraId="77082DE0" w14:textId="77777777" w:rsidR="00BF2700" w:rsidRDefault="00BF2700" w:rsidP="00BF2700">
      <w:r>
        <w:t>If your BCR for the average query is much lower than the standard MCR benchmarked for the Fast Track RA, you are likely to be CPU bound. In response, you might think about reducing the storage throughput, for example by reducing the number of arrays, introducing more disks per array, or increasing the size of the disks – these will reduce the cost of the storage infrastructure to a balanced level. Alternatively you might think about using a higher socket count server or higher performance CPUs that will take advantage of the surplus of storage I/O throughput. In either case the goal is to balance database processing capability with storage I/O throughput.</w:t>
      </w:r>
    </w:p>
    <w:p w14:paraId="0FD4D484" w14:textId="77777777" w:rsidR="00BF2700" w:rsidRDefault="00BF2700" w:rsidP="00BF2700">
      <w:r>
        <w:lastRenderedPageBreak/>
        <w:t xml:space="preserve">Correspondingly, if your BCR is higher than the MCR, you may need more I/O throughput to process a query workload in a balanced fashion. </w:t>
      </w:r>
    </w:p>
    <w:p w14:paraId="72E977A2" w14:textId="77777777" w:rsidR="00BF2700" w:rsidRDefault="00BF2700" w:rsidP="00BF2700">
      <w:pPr>
        <w:pStyle w:val="Heading1"/>
      </w:pPr>
      <w:bookmarkStart w:id="22" w:name="_Toc284834178"/>
      <w:r>
        <w:t>Fast Track Data Warehouse Reference Configurations</w:t>
      </w:r>
      <w:bookmarkEnd w:id="22"/>
    </w:p>
    <w:p w14:paraId="019F7E16" w14:textId="77777777" w:rsidR="00E40D67" w:rsidRPr="00E40D67" w:rsidRDefault="00BF2700" w:rsidP="00BF2700">
      <w:pPr>
        <w:rPr>
          <w:color w:val="0000FF"/>
          <w:u w:val="single"/>
        </w:rPr>
      </w:pPr>
      <w:r>
        <w:t xml:space="preserve">Detailed hardware reference architecture specifications are available from each participating Fast Track Data Warehouse partner. Links to each partner solution can be found here: </w:t>
      </w:r>
      <w:hyperlink r:id="rId36" w:history="1">
        <w:r w:rsidR="00E40D67">
          <w:rPr>
            <w:rStyle w:val="Hyperlink"/>
          </w:rPr>
          <w:t>SQL Server 2008 R2 Fast Track Portal</w:t>
        </w:r>
      </w:hyperlink>
      <w:r w:rsidR="00E40D67">
        <w:rPr>
          <w:rStyle w:val="Hyperlink"/>
          <w:color w:val="auto"/>
          <w:u w:val="none"/>
        </w:rPr>
        <w:t>.</w:t>
      </w:r>
    </w:p>
    <w:p w14:paraId="5EB4CBC3" w14:textId="77777777" w:rsidR="00BF2700" w:rsidRDefault="00BF2700" w:rsidP="00BF2700">
      <w:r>
        <w:t xml:space="preserve">Fast Track 3.0 capacity is rated in User Data Capacity (UDC). This calculation assumes, per FTDW guidelines, that page compression is enabled for all user data. An average compression factor of 3:1 is used. In addition an allocation of up to 30 percent of noncompressed capacity is allocated to </w:t>
      </w:r>
      <w:r w:rsidRPr="00457EBF">
        <w:rPr>
          <w:b/>
        </w:rPr>
        <w:t>tempdb</w:t>
      </w:r>
      <w:r>
        <w:t xml:space="preserve"> before calculating UDC. Note that for larger configurations with more total capacity this ratio is reduced to as low as 20 percent.</w:t>
      </w:r>
    </w:p>
    <w:p w14:paraId="58F9D367" w14:textId="77777777" w:rsidR="00BF2700" w:rsidRDefault="00BF2700" w:rsidP="00BF2700">
      <w:r>
        <w:t xml:space="preserve">For more information about </w:t>
      </w:r>
      <w:r w:rsidRPr="00261934">
        <w:rPr>
          <w:b/>
        </w:rPr>
        <w:t>tempdb</w:t>
      </w:r>
      <w:r>
        <w:t xml:space="preserve"> sizing, see </w:t>
      </w:r>
      <w:hyperlink r:id="rId37" w:history="1">
        <w:r w:rsidRPr="00261934">
          <w:rPr>
            <w:rStyle w:val="Hyperlink"/>
          </w:rPr>
          <w:t>Capacity Planning for tempdb</w:t>
        </w:r>
      </w:hyperlink>
      <w:r>
        <w:t xml:space="preserve"> in SQL Server Books Online.</w:t>
      </w:r>
    </w:p>
    <w:p w14:paraId="032FFA60" w14:textId="77777777" w:rsidR="00BF2700" w:rsidRDefault="00BF2700" w:rsidP="00BF2700">
      <w:pPr>
        <w:pStyle w:val="Heading1"/>
      </w:pPr>
      <w:bookmarkStart w:id="23" w:name="_Toc284834179"/>
      <w:r>
        <w:t>Conclusion</w:t>
      </w:r>
      <w:bookmarkEnd w:id="23"/>
    </w:p>
    <w:p w14:paraId="62A4F430" w14:textId="77777777" w:rsidR="00BF2700" w:rsidRDefault="00BF2700" w:rsidP="00BF2700">
      <w:pPr>
        <w:rPr>
          <w:rFonts w:cs="Arial"/>
        </w:rPr>
      </w:pPr>
      <w:r>
        <w:rPr>
          <w:rFonts w:cs="Arial"/>
        </w:rPr>
        <w:t xml:space="preserve">SQL Server Fast Track Data Warehouse offers a template and tools for bringing a data warehouse from design to deployment. This document describes the methodology, configuration options, best practices, reference configurations, and benchmarking and validation techniques for Fast Track Data Warehouse. </w:t>
      </w:r>
    </w:p>
    <w:p w14:paraId="6D38C1EF" w14:textId="77777777" w:rsidR="00BF2700" w:rsidRPr="006C0DFA" w:rsidRDefault="00BF2700" w:rsidP="00BF2700">
      <w:pPr>
        <w:rPr>
          <w:rFonts w:cs="Arial"/>
          <w:b/>
        </w:rPr>
      </w:pPr>
      <w:r w:rsidRPr="006C0DFA">
        <w:rPr>
          <w:rFonts w:cs="Arial"/>
          <w:b/>
        </w:rPr>
        <w:t>For more information:</w:t>
      </w:r>
    </w:p>
    <w:p w14:paraId="3574DF44" w14:textId="77777777" w:rsidR="00BF2700" w:rsidRPr="006C0DFA" w:rsidRDefault="00657256" w:rsidP="00BF2700">
      <w:pPr>
        <w:rPr>
          <w:rFonts w:cs="Arial"/>
        </w:rPr>
      </w:pPr>
      <w:hyperlink r:id="rId38" w:history="1">
        <w:r w:rsidR="00BF2700">
          <w:rPr>
            <w:rStyle w:val="Hyperlink"/>
            <w:rFonts w:cs="Arial"/>
          </w:rPr>
          <w:t>SQL Server Website</w:t>
        </w:r>
      </w:hyperlink>
    </w:p>
    <w:p w14:paraId="5FA60DD7" w14:textId="77777777" w:rsidR="00BF2700" w:rsidRPr="006C0DFA" w:rsidRDefault="00657256" w:rsidP="00BF2700">
      <w:pPr>
        <w:rPr>
          <w:rFonts w:cs="Arial"/>
        </w:rPr>
      </w:pPr>
      <w:hyperlink r:id="rId39" w:history="1">
        <w:r w:rsidR="00BF2700">
          <w:rPr>
            <w:rStyle w:val="Hyperlink"/>
            <w:rFonts w:cs="Arial"/>
          </w:rPr>
          <w:t>SQL Server TechCenter</w:t>
        </w:r>
      </w:hyperlink>
    </w:p>
    <w:p w14:paraId="006DDEA8" w14:textId="77777777" w:rsidR="00BF2700" w:rsidRPr="006C0DFA" w:rsidRDefault="00657256" w:rsidP="00BF2700">
      <w:pPr>
        <w:rPr>
          <w:rFonts w:cs="Arial"/>
        </w:rPr>
      </w:pPr>
      <w:hyperlink r:id="rId40" w:history="1">
        <w:r w:rsidR="00BF2700">
          <w:rPr>
            <w:rStyle w:val="Hyperlink"/>
            <w:rFonts w:cs="Arial"/>
          </w:rPr>
          <w:t>SQL Server Online Resources</w:t>
        </w:r>
      </w:hyperlink>
    </w:p>
    <w:p w14:paraId="12037594" w14:textId="77777777" w:rsidR="00BF2700" w:rsidRPr="0087032D" w:rsidRDefault="00657256" w:rsidP="00BF2700">
      <w:pPr>
        <w:pStyle w:val="NoSpacing"/>
        <w:rPr>
          <w:rFonts w:ascii="Arial" w:hAnsi="Arial" w:cs="Arial"/>
        </w:rPr>
      </w:pPr>
      <w:hyperlink r:id="rId41" w:history="1">
        <w:r w:rsidR="00BF2700">
          <w:rPr>
            <w:rStyle w:val="Hyperlink"/>
            <w:rFonts w:ascii="Arial" w:hAnsi="Arial" w:cs="Arial"/>
          </w:rPr>
          <w:t>Top</w:t>
        </w:r>
        <w:r w:rsidR="00BF2700" w:rsidRPr="00277172">
          <w:rPr>
            <w:rStyle w:val="Hyperlink"/>
            <w:rFonts w:ascii="Arial" w:hAnsi="Arial" w:cs="Arial"/>
          </w:rPr>
          <w:t xml:space="preserve">10 Best Practices for </w:t>
        </w:r>
        <w:r w:rsidR="00BF2700">
          <w:rPr>
            <w:rStyle w:val="Hyperlink"/>
            <w:rFonts w:ascii="Arial" w:hAnsi="Arial" w:cs="Arial"/>
          </w:rPr>
          <w:t>Building L</w:t>
        </w:r>
        <w:r w:rsidR="00BF2700" w:rsidRPr="00277172">
          <w:rPr>
            <w:rStyle w:val="Hyperlink"/>
            <w:rFonts w:ascii="Arial" w:hAnsi="Arial" w:cs="Arial"/>
          </w:rPr>
          <w:t xml:space="preserve">arge </w:t>
        </w:r>
        <w:r w:rsidR="00BF2700">
          <w:rPr>
            <w:rStyle w:val="Hyperlink"/>
            <w:rFonts w:ascii="Arial" w:hAnsi="Arial" w:cs="Arial"/>
          </w:rPr>
          <w:t>S</w:t>
        </w:r>
        <w:r w:rsidR="00BF2700" w:rsidRPr="00277172">
          <w:rPr>
            <w:rStyle w:val="Hyperlink"/>
            <w:rFonts w:ascii="Arial" w:hAnsi="Arial" w:cs="Arial"/>
          </w:rPr>
          <w:t xml:space="preserve">cale </w:t>
        </w:r>
        <w:r w:rsidR="00BF2700">
          <w:rPr>
            <w:rStyle w:val="Hyperlink"/>
            <w:rFonts w:ascii="Arial" w:hAnsi="Arial" w:cs="Arial"/>
          </w:rPr>
          <w:t>R</w:t>
        </w:r>
        <w:r w:rsidR="00BF2700" w:rsidRPr="00277172">
          <w:rPr>
            <w:rStyle w:val="Hyperlink"/>
            <w:rFonts w:ascii="Arial" w:hAnsi="Arial" w:cs="Arial"/>
          </w:rPr>
          <w:t xml:space="preserve">elational </w:t>
        </w:r>
        <w:r w:rsidR="00BF2700">
          <w:rPr>
            <w:rStyle w:val="Hyperlink"/>
            <w:rFonts w:ascii="Arial" w:hAnsi="Arial" w:cs="Arial"/>
          </w:rPr>
          <w:t>D</w:t>
        </w:r>
        <w:r w:rsidR="00BF2700" w:rsidRPr="00277172">
          <w:rPr>
            <w:rStyle w:val="Hyperlink"/>
            <w:rFonts w:ascii="Arial" w:hAnsi="Arial" w:cs="Arial"/>
          </w:rPr>
          <w:t xml:space="preserve">ata </w:t>
        </w:r>
        <w:r w:rsidR="00BF2700">
          <w:rPr>
            <w:rStyle w:val="Hyperlink"/>
            <w:rFonts w:ascii="Arial" w:hAnsi="Arial" w:cs="Arial"/>
          </w:rPr>
          <w:t>W</w:t>
        </w:r>
        <w:r w:rsidR="00BF2700" w:rsidRPr="00277172">
          <w:rPr>
            <w:rStyle w:val="Hyperlink"/>
            <w:rFonts w:ascii="Arial" w:hAnsi="Arial" w:cs="Arial"/>
          </w:rPr>
          <w:t>arehouses</w:t>
        </w:r>
      </w:hyperlink>
      <w:r w:rsidR="00BF2700" w:rsidRPr="00AD7CA9">
        <w:rPr>
          <w:rFonts w:ascii="Arial" w:hAnsi="Arial" w:cs="Arial"/>
        </w:rPr>
        <w:t xml:space="preserve"> (SQLCAT team)</w:t>
      </w:r>
    </w:p>
    <w:p w14:paraId="29C25821" w14:textId="77777777" w:rsidR="00BF2700" w:rsidRDefault="00BF2700" w:rsidP="00BF2700">
      <w:pPr>
        <w:pStyle w:val="NoSpacing"/>
        <w:rPr>
          <w:rFonts w:cs="Arial"/>
        </w:rPr>
      </w:pPr>
    </w:p>
    <w:p w14:paraId="1FBBB328" w14:textId="77777777" w:rsidR="00BF2700" w:rsidRPr="004A2762" w:rsidRDefault="00657256" w:rsidP="00BF2700">
      <w:pPr>
        <w:pStyle w:val="NoSpacing"/>
        <w:rPr>
          <w:rFonts w:ascii="Arial" w:hAnsi="Arial" w:cs="Arial"/>
        </w:rPr>
      </w:pPr>
      <w:hyperlink r:id="rId42" w:history="1">
        <w:r w:rsidR="00BF2700">
          <w:rPr>
            <w:rStyle w:val="Hyperlink"/>
            <w:rFonts w:ascii="Arial" w:hAnsi="Arial" w:cs="Arial"/>
            <w:bCs/>
          </w:rPr>
          <w:t>How to: Enable the Lock Pages in Memory Option (Windows)</w:t>
        </w:r>
      </w:hyperlink>
    </w:p>
    <w:p w14:paraId="7ED4DA75" w14:textId="77777777" w:rsidR="00BF2700" w:rsidRDefault="00BF2700" w:rsidP="00BF2700">
      <w:pPr>
        <w:pStyle w:val="NoSpacing"/>
        <w:rPr>
          <w:rFonts w:ascii="Arial" w:hAnsi="Arial" w:cs="Arial"/>
        </w:rPr>
      </w:pPr>
    </w:p>
    <w:p w14:paraId="46CDC9A8" w14:textId="77777777" w:rsidR="00BF2700" w:rsidRPr="00A652BE" w:rsidRDefault="00657256" w:rsidP="00BF2700">
      <w:pPr>
        <w:pStyle w:val="NoSpacing"/>
        <w:rPr>
          <w:rFonts w:ascii="Arial" w:hAnsi="Arial" w:cs="Arial"/>
          <w:bCs/>
        </w:rPr>
      </w:pPr>
      <w:hyperlink r:id="rId43" w:history="1">
        <w:r w:rsidR="00BF2700">
          <w:rPr>
            <w:rStyle w:val="Hyperlink"/>
            <w:rFonts w:ascii="Arial" w:hAnsi="Arial" w:cs="Arial"/>
            <w:bCs/>
          </w:rPr>
          <w:t>Tuning options for SQL Server 2005 and SQL Server 2008 for high performance workloads</w:t>
        </w:r>
      </w:hyperlink>
    </w:p>
    <w:p w14:paraId="5FBDF9BC" w14:textId="77777777" w:rsidR="00BF2700" w:rsidRDefault="00BF2700" w:rsidP="00BF2700">
      <w:pPr>
        <w:pStyle w:val="NoSpacing"/>
        <w:rPr>
          <w:rFonts w:ascii="Arial" w:hAnsi="Arial" w:cs="Arial"/>
          <w:bCs/>
        </w:rPr>
      </w:pPr>
    </w:p>
    <w:p w14:paraId="16229AFC" w14:textId="77777777" w:rsidR="00BF2700" w:rsidRPr="00AA3954" w:rsidRDefault="00657256" w:rsidP="00BF2700">
      <w:pPr>
        <w:pStyle w:val="NoSpacing"/>
        <w:rPr>
          <w:rFonts w:ascii="Arial" w:hAnsi="Arial" w:cs="Arial"/>
        </w:rPr>
      </w:pPr>
      <w:hyperlink r:id="rId44" w:history="1">
        <w:r w:rsidR="00BF2700" w:rsidRPr="00B628B5">
          <w:rPr>
            <w:rStyle w:val="Hyperlink"/>
            <w:rFonts w:ascii="Arial" w:hAnsi="Arial" w:cs="Arial"/>
            <w:bCs/>
          </w:rPr>
          <w:t>How to: Configure SQL Server to Use Soft-NUMA</w:t>
        </w:r>
      </w:hyperlink>
    </w:p>
    <w:p w14:paraId="48A0686C" w14:textId="77777777" w:rsidR="00BF2700" w:rsidRDefault="00BF2700" w:rsidP="00BF2700">
      <w:pPr>
        <w:pStyle w:val="NoSpacing"/>
        <w:rPr>
          <w:rFonts w:ascii="Arial" w:hAnsi="Arial" w:cs="Arial"/>
        </w:rPr>
      </w:pPr>
    </w:p>
    <w:p w14:paraId="4CD2DDE3" w14:textId="77777777" w:rsidR="00BF2700" w:rsidRDefault="00657256" w:rsidP="00BF2700">
      <w:pPr>
        <w:pStyle w:val="NoSpacing"/>
        <w:rPr>
          <w:rFonts w:ascii="Arial" w:hAnsi="Arial" w:cs="Arial"/>
        </w:rPr>
      </w:pPr>
      <w:hyperlink r:id="rId45" w:history="1">
        <w:r w:rsidR="00BF2700" w:rsidRPr="000C309C">
          <w:rPr>
            <w:rStyle w:val="Hyperlink"/>
            <w:rFonts w:ascii="Arial" w:hAnsi="Arial" w:cs="Arial"/>
          </w:rPr>
          <w:t>Database File Initialization</w:t>
        </w:r>
      </w:hyperlink>
    </w:p>
    <w:p w14:paraId="50972175" w14:textId="77777777" w:rsidR="00BF2700" w:rsidRDefault="00BF2700" w:rsidP="00BF2700">
      <w:pPr>
        <w:pStyle w:val="NoSpacing"/>
        <w:rPr>
          <w:rFonts w:ascii="Arial" w:hAnsi="Arial" w:cs="Arial"/>
        </w:rPr>
      </w:pPr>
    </w:p>
    <w:p w14:paraId="50EB7718" w14:textId="77777777" w:rsidR="00BF2700" w:rsidRPr="00913BE1" w:rsidRDefault="00657256" w:rsidP="00BF2700">
      <w:pPr>
        <w:pStyle w:val="NoSpacing"/>
        <w:rPr>
          <w:rFonts w:ascii="Arial" w:hAnsi="Arial" w:cs="Arial"/>
        </w:rPr>
      </w:pPr>
      <w:hyperlink r:id="rId46" w:history="1">
        <w:r w:rsidR="00BF2700" w:rsidRPr="000C309C">
          <w:rPr>
            <w:rStyle w:val="Hyperlink"/>
            <w:rFonts w:ascii="Arial" w:hAnsi="Arial" w:cs="Arial"/>
            <w:bCs/>
          </w:rPr>
          <w:t>How to: View or Change the Recovery Model of a Database (SQL Server Management Studio)</w:t>
        </w:r>
      </w:hyperlink>
    </w:p>
    <w:p w14:paraId="7444BBA4" w14:textId="77777777" w:rsidR="00BF2700" w:rsidRDefault="00BF2700" w:rsidP="00BF2700">
      <w:pPr>
        <w:pStyle w:val="NoSpacing"/>
        <w:rPr>
          <w:rFonts w:ascii="Arial" w:hAnsi="Arial" w:cs="Arial"/>
        </w:rPr>
      </w:pPr>
    </w:p>
    <w:p w14:paraId="0BDF8050" w14:textId="77777777" w:rsidR="00BF2700" w:rsidRDefault="00657256" w:rsidP="00BF2700">
      <w:pPr>
        <w:pStyle w:val="NoSpacing"/>
        <w:rPr>
          <w:rFonts w:ascii="Arial" w:hAnsi="Arial" w:cs="Arial"/>
        </w:rPr>
      </w:pPr>
      <w:hyperlink r:id="rId47" w:history="1">
        <w:r w:rsidR="00BF2700" w:rsidRPr="00CE32CE">
          <w:rPr>
            <w:rStyle w:val="Hyperlink"/>
            <w:rFonts w:ascii="Arial" w:hAnsi="Arial" w:cs="Arial"/>
          </w:rPr>
          <w:t>Monitoring Memory Usage</w:t>
        </w:r>
      </w:hyperlink>
    </w:p>
    <w:p w14:paraId="184A28C0" w14:textId="77777777" w:rsidR="00BF2700" w:rsidRPr="0087032D" w:rsidRDefault="00BF2700" w:rsidP="00BF2700">
      <w:pPr>
        <w:pStyle w:val="NoSpacing"/>
        <w:rPr>
          <w:rFonts w:ascii="Arial" w:hAnsi="Arial" w:cs="Arial"/>
        </w:rPr>
      </w:pPr>
    </w:p>
    <w:p w14:paraId="7009FD40" w14:textId="77777777" w:rsidR="00BF2700" w:rsidRPr="0087032D" w:rsidRDefault="00657256" w:rsidP="00BF2700">
      <w:pPr>
        <w:pStyle w:val="NoSpacing"/>
        <w:rPr>
          <w:rFonts w:ascii="Arial" w:hAnsi="Arial" w:cs="Arial"/>
        </w:rPr>
      </w:pPr>
      <w:hyperlink r:id="rId48" w:history="1">
        <w:r w:rsidR="00BF2700" w:rsidRPr="0072282C">
          <w:rPr>
            <w:rStyle w:val="Hyperlink"/>
            <w:rFonts w:ascii="Arial" w:hAnsi="Arial" w:cs="Arial"/>
          </w:rPr>
          <w:t>824190 Troubleshooting Storage Area Network (SAN) Issues</w:t>
        </w:r>
      </w:hyperlink>
      <w:hyperlink r:id="rId49" w:history="1">
        <w:r w:rsidR="00BF2700" w:rsidRPr="0087032D">
          <w:rPr>
            <w:rStyle w:val="Hyperlink"/>
            <w:rFonts w:ascii="Arial" w:hAnsi="Arial" w:cs="Arial"/>
          </w:rPr>
          <w:t xml:space="preserve"> </w:t>
        </w:r>
      </w:hyperlink>
    </w:p>
    <w:p w14:paraId="4A458699" w14:textId="77777777" w:rsidR="00BF2700" w:rsidRPr="0087032D" w:rsidRDefault="00BF2700" w:rsidP="00BF2700">
      <w:pPr>
        <w:pStyle w:val="NoSpacing"/>
        <w:rPr>
          <w:rFonts w:ascii="Arial" w:hAnsi="Arial" w:cs="Arial"/>
        </w:rPr>
      </w:pPr>
    </w:p>
    <w:p w14:paraId="68496948" w14:textId="77777777" w:rsidR="00BF2700" w:rsidRPr="0087032D" w:rsidRDefault="00BF2700" w:rsidP="00BF2700">
      <w:pPr>
        <w:pStyle w:val="NoSpacing"/>
        <w:rPr>
          <w:rFonts w:ascii="Arial" w:hAnsi="Arial" w:cs="Arial"/>
        </w:rPr>
      </w:pPr>
    </w:p>
    <w:p w14:paraId="6358D6DB" w14:textId="77777777" w:rsidR="00BF2700" w:rsidRPr="0087032D" w:rsidRDefault="00657256" w:rsidP="00BF2700">
      <w:pPr>
        <w:pStyle w:val="NoSpacing"/>
        <w:rPr>
          <w:rFonts w:ascii="Arial" w:hAnsi="Arial" w:cs="Arial"/>
        </w:rPr>
      </w:pPr>
      <w:hyperlink r:id="rId50" w:history="1">
        <w:r w:rsidR="00BF2700" w:rsidRPr="00516D2C">
          <w:rPr>
            <w:rStyle w:val="Hyperlink"/>
            <w:rFonts w:ascii="Arial" w:hAnsi="Arial" w:cs="Arial"/>
          </w:rPr>
          <w:t xml:space="preserve">Microsoft Storage Technologies – Multipath </w:t>
        </w:r>
        <w:r w:rsidR="00BF2700">
          <w:rPr>
            <w:rStyle w:val="Hyperlink"/>
            <w:rFonts w:ascii="Arial" w:hAnsi="Arial" w:cs="Arial"/>
          </w:rPr>
          <w:t>I/O</w:t>
        </w:r>
      </w:hyperlink>
    </w:p>
    <w:p w14:paraId="62377862" w14:textId="77777777" w:rsidR="00BF2700" w:rsidRDefault="00BF2700" w:rsidP="00BF2700">
      <w:pPr>
        <w:pStyle w:val="NoSpacing"/>
        <w:rPr>
          <w:rFonts w:ascii="Arial" w:hAnsi="Arial" w:cs="Arial"/>
        </w:rPr>
      </w:pPr>
    </w:p>
    <w:p w14:paraId="051225DE" w14:textId="77777777" w:rsidR="00BF2700" w:rsidRPr="0087032D" w:rsidRDefault="00657256" w:rsidP="00BF2700">
      <w:pPr>
        <w:pStyle w:val="NoSpacing"/>
        <w:rPr>
          <w:rFonts w:ascii="Arial" w:hAnsi="Arial" w:cs="Arial"/>
        </w:rPr>
      </w:pPr>
      <w:hyperlink r:id="rId51" w:history="1">
        <w:r w:rsidR="00BF2700" w:rsidRPr="00516D2C">
          <w:rPr>
            <w:rStyle w:val="Hyperlink"/>
            <w:rFonts w:ascii="Arial" w:hAnsi="Arial" w:cs="Arial"/>
          </w:rPr>
          <w:t>S</w:t>
        </w:r>
        <w:r w:rsidR="00BF2700">
          <w:rPr>
            <w:rStyle w:val="Hyperlink"/>
            <w:rFonts w:ascii="Arial" w:hAnsi="Arial" w:cs="Arial"/>
          </w:rPr>
          <w:t>tor</w:t>
        </w:r>
        <w:r w:rsidR="00BF2700" w:rsidRPr="00516D2C">
          <w:rPr>
            <w:rStyle w:val="Hyperlink"/>
            <w:rFonts w:ascii="Arial" w:hAnsi="Arial" w:cs="Arial"/>
          </w:rPr>
          <w:t>port in Windows Server 2003: Improving Manageability and Performance in Hardware RAID and Storage Area Networks</w:t>
        </w:r>
      </w:hyperlink>
    </w:p>
    <w:p w14:paraId="24435618" w14:textId="77777777" w:rsidR="00BF2700" w:rsidRPr="0087032D" w:rsidRDefault="00BF2700" w:rsidP="00BF2700">
      <w:pPr>
        <w:pStyle w:val="NoSpacing"/>
        <w:rPr>
          <w:rFonts w:ascii="Arial" w:hAnsi="Arial" w:cs="Arial"/>
        </w:rPr>
      </w:pPr>
    </w:p>
    <w:p w14:paraId="464AA325" w14:textId="77777777" w:rsidR="00BF2700" w:rsidRDefault="00657256" w:rsidP="00BF2700">
      <w:hyperlink r:id="rId52" w:history="1">
        <w:r w:rsidR="00BF2700" w:rsidRPr="00516D2C">
          <w:rPr>
            <w:rStyle w:val="Hyperlink"/>
            <w:rFonts w:cs="Arial"/>
          </w:rPr>
          <w:t xml:space="preserve">SQL Server 2000 </w:t>
        </w:r>
        <w:r w:rsidR="00BF2700">
          <w:rPr>
            <w:rStyle w:val="Hyperlink"/>
            <w:rFonts w:cs="Arial"/>
          </w:rPr>
          <w:t>I/O Basics W</w:t>
        </w:r>
        <w:r w:rsidR="00BF2700" w:rsidRPr="00516D2C">
          <w:rPr>
            <w:rStyle w:val="Hyperlink"/>
            <w:rFonts w:cs="Arial"/>
          </w:rPr>
          <w:t>hite</w:t>
        </w:r>
        <w:r w:rsidR="00BF2700">
          <w:rPr>
            <w:rStyle w:val="Hyperlink"/>
            <w:rFonts w:cs="Arial"/>
          </w:rPr>
          <w:t xml:space="preserve"> P</w:t>
        </w:r>
        <w:r w:rsidR="00BF2700" w:rsidRPr="00516D2C">
          <w:rPr>
            <w:rStyle w:val="Hyperlink"/>
            <w:rFonts w:cs="Arial"/>
          </w:rPr>
          <w:t>aper</w:t>
        </w:r>
      </w:hyperlink>
    </w:p>
    <w:p w14:paraId="3861A6C5" w14:textId="77777777" w:rsidR="00BF2700" w:rsidRDefault="00657256" w:rsidP="00BF2700">
      <w:hyperlink r:id="rId53" w:history="1">
        <w:r w:rsidR="00BF2700">
          <w:rPr>
            <w:rStyle w:val="Hyperlink"/>
          </w:rPr>
          <w:t>Data Compression: Strategy, Capacity Planning and Best Practices</w:t>
        </w:r>
      </w:hyperlink>
    </w:p>
    <w:p w14:paraId="1547B5BA" w14:textId="77777777" w:rsidR="00BF2700" w:rsidRPr="006C0DFA" w:rsidRDefault="00BF2700" w:rsidP="00BF2700">
      <w:pPr>
        <w:rPr>
          <w:rFonts w:cs="Arial"/>
        </w:rPr>
      </w:pPr>
    </w:p>
    <w:p w14:paraId="7B135218" w14:textId="77777777" w:rsidR="00BF2700" w:rsidRPr="006C0DFA" w:rsidRDefault="00BF2700" w:rsidP="00BF2700">
      <w:pPr>
        <w:rPr>
          <w:rFonts w:cs="Arial"/>
        </w:rPr>
      </w:pPr>
      <w:r w:rsidRPr="006C0DFA">
        <w:rPr>
          <w:rFonts w:cs="Arial"/>
        </w:rPr>
        <w:t>Did this paper help you? Please give us your feedback. Tell us on a scale of 1 (poor) to 5 (excellent), how would you rate this paper and why have you given it this rating? For example:</w:t>
      </w:r>
    </w:p>
    <w:p w14:paraId="2F416565" w14:textId="77777777" w:rsidR="00BF2700" w:rsidRPr="006C0DFA" w:rsidRDefault="00BF2700" w:rsidP="00BF2700">
      <w:pPr>
        <w:pStyle w:val="ListParagraph"/>
        <w:numPr>
          <w:ilvl w:val="0"/>
          <w:numId w:val="36"/>
        </w:numPr>
        <w:rPr>
          <w:rFonts w:cs="Arial"/>
        </w:rPr>
      </w:pPr>
      <w:r w:rsidRPr="006C0DFA">
        <w:rPr>
          <w:rFonts w:cs="Arial"/>
        </w:rPr>
        <w:t xml:space="preserve">Are you rating it high due to having good examples, excellent screen shots, clear writing, or another reason? </w:t>
      </w:r>
    </w:p>
    <w:p w14:paraId="7ADBA523" w14:textId="77777777" w:rsidR="00BF2700" w:rsidRPr="006C0DFA" w:rsidRDefault="00BF2700" w:rsidP="00BF2700">
      <w:pPr>
        <w:pStyle w:val="ListParagraph"/>
        <w:numPr>
          <w:ilvl w:val="0"/>
          <w:numId w:val="36"/>
        </w:numPr>
        <w:rPr>
          <w:rFonts w:cs="Arial"/>
        </w:rPr>
      </w:pPr>
      <w:r w:rsidRPr="006C0DFA">
        <w:rPr>
          <w:rFonts w:cs="Arial"/>
        </w:rPr>
        <w:t>Are you rating it low due to poor examples, fuzzy screen shots, or unclear writing?</w:t>
      </w:r>
    </w:p>
    <w:p w14:paraId="575B1A90" w14:textId="77777777" w:rsidR="00BF2700" w:rsidRDefault="00BF2700" w:rsidP="00BF2700">
      <w:pPr>
        <w:rPr>
          <w:rFonts w:cs="Arial"/>
        </w:rPr>
      </w:pPr>
      <w:r w:rsidRPr="006C0DFA">
        <w:rPr>
          <w:rFonts w:cs="Arial"/>
        </w:rPr>
        <w:t xml:space="preserve">This feedback will help us improve the quality of white papers we release. </w:t>
      </w:r>
    </w:p>
    <w:p w14:paraId="5D16E10D" w14:textId="77777777" w:rsidR="00BF2700" w:rsidRPr="00674032" w:rsidRDefault="00657256" w:rsidP="00BF2700">
      <w:pPr>
        <w:rPr>
          <w:rFonts w:cs="Arial"/>
        </w:rPr>
      </w:pPr>
      <w:hyperlink r:id="rId54" w:history="1">
        <w:r w:rsidR="00BF2700" w:rsidRPr="000668E3">
          <w:rPr>
            <w:rStyle w:val="Hyperlink"/>
            <w:rFonts w:cs="Arial"/>
          </w:rPr>
          <w:t>Send feedback</w:t>
        </w:r>
      </w:hyperlink>
      <w:r w:rsidR="00BF2700" w:rsidRPr="006C0DFA">
        <w:rPr>
          <w:rFonts w:cs="Arial"/>
        </w:rPr>
        <w:t>.</w:t>
      </w:r>
    </w:p>
    <w:p w14:paraId="51C4884A" w14:textId="77777777" w:rsidR="00BF2700" w:rsidRDefault="00BF2700" w:rsidP="00BF2700">
      <w:pPr>
        <w:pStyle w:val="Heading1"/>
      </w:pPr>
      <w:bookmarkStart w:id="24" w:name="_Toc284834180"/>
      <w:r>
        <w:t>Appendix</w:t>
      </w:r>
      <w:bookmarkEnd w:id="24"/>
    </w:p>
    <w:p w14:paraId="7BAD4D2E" w14:textId="77777777" w:rsidR="00BF2700" w:rsidRDefault="00BF2700" w:rsidP="00BF2700">
      <w:pPr>
        <w:pStyle w:val="Heading1"/>
      </w:pPr>
      <w:bookmarkStart w:id="25" w:name="_Toc284834181"/>
      <w:r>
        <w:t>FTDW System Sizing Tool</w:t>
      </w:r>
      <w:bookmarkEnd w:id="25"/>
    </w:p>
    <w:p w14:paraId="4276D6CC" w14:textId="77777777" w:rsidR="00BF2700" w:rsidRPr="000F7CD9" w:rsidRDefault="00BF2700" w:rsidP="00BF2700">
      <w:pPr>
        <w:rPr>
          <w:rFonts w:cs="Arial"/>
        </w:rPr>
      </w:pPr>
      <w:r>
        <w:rPr>
          <w:rFonts w:cs="Arial"/>
        </w:rPr>
        <w:t>The FTDW System Sizing tool is a spreadsheet calculator that assists you with the process of calculating a customer workload requirement in terms of FTDW system throughput. You can use this tool in the absence of a test platform or as a starting point when evaluating customer requirements. Th</w:t>
      </w:r>
      <w:r w:rsidR="002F3740">
        <w:rPr>
          <w:rFonts w:cs="Arial"/>
        </w:rPr>
        <w:t xml:space="preserve">e tool can be found at the </w:t>
      </w:r>
      <w:hyperlink r:id="rId55" w:history="1">
        <w:r w:rsidR="002F3740" w:rsidRPr="002F3740">
          <w:rPr>
            <w:rStyle w:val="Hyperlink"/>
            <w:rFonts w:cs="Arial"/>
          </w:rPr>
          <w:t>SQL Server 2008 R2 Fast Track Portal</w:t>
        </w:r>
      </w:hyperlink>
      <w:r>
        <w:rPr>
          <w:rFonts w:cs="Arial"/>
        </w:rPr>
        <w:t>. Additionally, some partner vendors have built their own conforming Fast Track sizing tools. These can be found at the partner websites.</w:t>
      </w:r>
    </w:p>
    <w:p w14:paraId="641B17F7" w14:textId="77777777" w:rsidR="00BF2700" w:rsidRDefault="00BF2700" w:rsidP="00BF2700">
      <w:pPr>
        <w:pStyle w:val="Heading1"/>
      </w:pPr>
      <w:bookmarkStart w:id="26" w:name="_Toc284834182"/>
      <w:r>
        <w:t>Validating a Fast Track Reference Architecture</w:t>
      </w:r>
      <w:bookmarkEnd w:id="26"/>
    </w:p>
    <w:p w14:paraId="7E733FFC" w14:textId="77777777" w:rsidR="00BF2700" w:rsidRDefault="00BF2700" w:rsidP="00BF2700">
      <w:pPr>
        <w:pStyle w:val="Heading2"/>
      </w:pPr>
      <w:bookmarkStart w:id="27" w:name="_Toc284834183"/>
      <w:r>
        <w:t>Synthetic I/O Testing</w:t>
      </w:r>
      <w:bookmarkEnd w:id="27"/>
    </w:p>
    <w:p w14:paraId="266A9DE9" w14:textId="77777777" w:rsidR="00BF2700" w:rsidRDefault="00BF2700" w:rsidP="00BF2700">
      <w:r>
        <w:t xml:space="preserve">SQLIO is a tool available for download from Microsoft that enables testing of the I/O subsystem independent of SQL Server. For more information about using SQLIO, including general predeployment advice, see the </w:t>
      </w:r>
      <w:hyperlink r:id="rId56" w:history="1">
        <w:r w:rsidRPr="001229D4">
          <w:rPr>
            <w:rStyle w:val="Hyperlink"/>
          </w:rPr>
          <w:t>SQL Server Predeployment I/O Best Practices</w:t>
        </w:r>
      </w:hyperlink>
      <w:r>
        <w:t xml:space="preserve"> white paper.</w:t>
      </w:r>
    </w:p>
    <w:p w14:paraId="6338B4C1" w14:textId="77777777" w:rsidR="00BF2700" w:rsidRDefault="00BF2700" w:rsidP="00BF2700">
      <w:pPr>
        <w:pStyle w:val="Heading3"/>
      </w:pPr>
      <w:r>
        <w:t>Generating Test Files with SQLIO</w:t>
      </w:r>
    </w:p>
    <w:p w14:paraId="117B4A66" w14:textId="77777777" w:rsidR="00BF2700" w:rsidRDefault="00BF2700" w:rsidP="00BF2700">
      <w:r>
        <w:t>Running SQLIO causes an appropriate file to be created, if it is not already present. To generate a file of a specific size, use the –F parameter. For example using a parameter file (param.txt) containing:</w:t>
      </w:r>
    </w:p>
    <w:p w14:paraId="41E1EF51" w14:textId="77777777" w:rsidR="00BF2700" w:rsidRPr="00A47E01" w:rsidRDefault="00BF2700" w:rsidP="00BF2700">
      <w:pPr>
        <w:ind w:left="720"/>
      </w:pPr>
      <w:r>
        <w:lastRenderedPageBreak/>
        <w:t>C:\stor\pri\1\iobw</w:t>
      </w:r>
      <w:r w:rsidRPr="00A47E01">
        <w:t>.tst 1 0x0 50</w:t>
      </w:r>
    </w:p>
    <w:p w14:paraId="13A6BC1D" w14:textId="77777777" w:rsidR="00BF2700" w:rsidRDefault="00BF2700" w:rsidP="00BF2700">
      <w:r>
        <w:t>Running SQLIO with the –F parameter generates a 50 MB file on first execution:</w:t>
      </w:r>
    </w:p>
    <w:p w14:paraId="7E8B5529" w14:textId="77777777" w:rsidR="00BF2700" w:rsidRDefault="00BF2700" w:rsidP="00BF2700">
      <w:pPr>
        <w:ind w:left="720"/>
        <w:rPr>
          <w:color w:val="000000"/>
        </w:rPr>
      </w:pPr>
      <w:r>
        <w:t xml:space="preserve">Eq </w:t>
      </w:r>
      <w:r>
        <w:rPr>
          <w:color w:val="000000"/>
        </w:rPr>
        <w:t>sqlio -kW -s60 -fsequential -o1 -b64 -LS -Fparam.txt</w:t>
      </w:r>
    </w:p>
    <w:p w14:paraId="424F01AD" w14:textId="77777777" w:rsidR="00BF2700" w:rsidRDefault="00BF2700" w:rsidP="00BF2700">
      <w:pPr>
        <w:rPr>
          <w:color w:val="000000"/>
        </w:rPr>
      </w:pPr>
      <w:r>
        <w:rPr>
          <w:color w:val="000000"/>
        </w:rPr>
        <w:t xml:space="preserve">This process can take some time for large files. Create one file on each data disk on which you will host SQL Server data and </w:t>
      </w:r>
      <w:r w:rsidRPr="00790543">
        <w:rPr>
          <w:b/>
          <w:color w:val="000000"/>
        </w:rPr>
        <w:t>tempdb</w:t>
      </w:r>
      <w:r>
        <w:rPr>
          <w:color w:val="000000"/>
        </w:rPr>
        <w:t xml:space="preserve"> files. This can be achieved by adding more lines to the parameter file, which will create the required files one by one. To achieve parallel file creation, create multiple parameter files and run multiple SQLIO sessions concurrently.</w:t>
      </w:r>
    </w:p>
    <w:p w14:paraId="6C002662" w14:textId="77777777" w:rsidR="00BF2700" w:rsidRDefault="00BF2700" w:rsidP="00BF2700">
      <w:pPr>
        <w:pStyle w:val="Heading3"/>
      </w:pPr>
      <w:r>
        <w:t>Testing with SQLIO</w:t>
      </w:r>
    </w:p>
    <w:p w14:paraId="5CCD63F4" w14:textId="77777777" w:rsidR="00BF2700" w:rsidRDefault="00BF2700" w:rsidP="00BF2700">
      <w:r>
        <w:t>Use of SQLIO is described more completely in the best practices article. Read tests generally take the form:</w:t>
      </w:r>
    </w:p>
    <w:p w14:paraId="4E806646" w14:textId="77777777" w:rsidR="00BF2700" w:rsidRDefault="00BF2700" w:rsidP="00BF2700">
      <w:pPr>
        <w:ind w:left="720"/>
      </w:pPr>
      <w:r>
        <w:t>sqlio –kR –fSequential -s30 -o120 -b512 d:\iobw.tst –t1</w:t>
      </w:r>
    </w:p>
    <w:p w14:paraId="2EE07514" w14:textId="77777777" w:rsidR="00BF2700" w:rsidRDefault="00BF2700" w:rsidP="00BF2700">
      <w:r>
        <w:t>where R indicates a read test, 30 is the test duration in seconds, 120 is the number of outstanding requests issued, 512 is the block size in kilobytes of requests made, d:\iobw.tst is the location of the test file and 1 is the number of threads.</w:t>
      </w:r>
    </w:p>
    <w:p w14:paraId="73F85E73" w14:textId="77777777" w:rsidR="00BF2700" w:rsidRDefault="00BF2700" w:rsidP="00BF2700">
      <w:r>
        <w:t>In order to test aggregate bandwidth scenarios, multiple SQLIO tests must be issued in parallel. This can be achieved using Windows PowerShell scripts or other scripting methods.</w:t>
      </w:r>
    </w:p>
    <w:p w14:paraId="1A4C47FB" w14:textId="77777777" w:rsidR="00BF2700" w:rsidRDefault="00BF2700" w:rsidP="00BF2700">
      <w:r>
        <w:t>The predeployment best practices article also covers how to track your tests using Windows Server Performance and Reliability Monitor. Recording and storing the results of these tests will give you a baseline for future performance analysis and issue resolution.</w:t>
      </w:r>
    </w:p>
    <w:p w14:paraId="7B7238BA" w14:textId="77777777" w:rsidR="00BF2700" w:rsidRDefault="00BF2700" w:rsidP="00BF2700">
      <w:pPr>
        <w:pStyle w:val="Heading4"/>
      </w:pPr>
      <w:r w:rsidRPr="000921D5">
        <w:t>Validate Fib</w:t>
      </w:r>
      <w:r>
        <w:t>re</w:t>
      </w:r>
      <w:r w:rsidRPr="000921D5">
        <w:t xml:space="preserve"> Channel Bandwidth</w:t>
      </w:r>
      <w:r>
        <w:t xml:space="preserve"> (from cache)</w:t>
      </w:r>
    </w:p>
    <w:p w14:paraId="67F741E3" w14:textId="77777777" w:rsidR="00BF2700" w:rsidRDefault="00BF2700" w:rsidP="00BF2700">
      <w:r>
        <w:t>Using a small test file with a read duration of several minutes ensures that the file is completely resident in the array cache. Figure 7 shows the Logical Disk &gt; Read Bytes / sec counter against the disks in an example Fast Track system at various outstanding request numbers and block size. Tests should run for at least a few minutes to ensure consistent performance. The figure shows that optimal performance requires an outstanding request queue of at least four requests per file. Each individual disk should contribute to the total bandwidth.</w:t>
      </w:r>
    </w:p>
    <w:p w14:paraId="13A7874C" w14:textId="77777777" w:rsidR="00BF2700" w:rsidRDefault="00BF2700" w:rsidP="00BF2700">
      <w:r w:rsidRPr="00B0173A">
        <w:rPr>
          <w:noProof/>
        </w:rPr>
        <w:lastRenderedPageBreak/>
        <w:drawing>
          <wp:inline distT="0" distB="0" distL="0" distR="0" wp14:anchorId="1A2B71AF" wp14:editId="0FB4F9D4">
            <wp:extent cx="5943600" cy="2954989"/>
            <wp:effectExtent l="38100" t="38100" r="19050" b="16811"/>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54989"/>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CFE1C51" w14:textId="77777777" w:rsidR="00BF2700" w:rsidRDefault="00BF2700" w:rsidP="00BF2700">
      <w:r w:rsidRPr="00044A82">
        <w:rPr>
          <w:b/>
        </w:rPr>
        <w:t xml:space="preserve">Figure </w:t>
      </w:r>
      <w:r>
        <w:rPr>
          <w:b/>
        </w:rPr>
        <w:t>7</w:t>
      </w:r>
      <w:r w:rsidRPr="00044A82">
        <w:rPr>
          <w:b/>
        </w:rPr>
        <w:t>:</w:t>
      </w:r>
      <w:r>
        <w:t xml:space="preserve"> Logical Disk &gt; Read Bytes / sec counter</w:t>
      </w:r>
    </w:p>
    <w:p w14:paraId="5B91219F" w14:textId="73207A51" w:rsidR="00BF2700" w:rsidRDefault="00BF2700" w:rsidP="00BF2700">
      <w:pPr>
        <w:pStyle w:val="Heading4"/>
      </w:pPr>
      <w:r w:rsidRPr="000921D5">
        <w:t xml:space="preserve">Validate LUN and </w:t>
      </w:r>
      <w:r w:rsidR="00523E9D">
        <w:t>Disk Group</w:t>
      </w:r>
      <w:r>
        <w:t xml:space="preserve"> B</w:t>
      </w:r>
      <w:r w:rsidRPr="000921D5">
        <w:t>andwidth</w:t>
      </w:r>
      <w:r>
        <w:t xml:space="preserve"> (from Disk)</w:t>
      </w:r>
    </w:p>
    <w:p w14:paraId="69C3B490" w14:textId="6973FEDA" w:rsidR="00BF2700" w:rsidRPr="009D61BE" w:rsidRDefault="00BF2700" w:rsidP="00BF2700">
      <w:r>
        <w:t>These tests ensure all disk volumes presented by the disk arrays to Windows are capable of contributing to the overall aggregate bandwidth, by reading from each LUN, one at a time. You may see that some of the LUNs appear to be sligh</w:t>
      </w:r>
      <w:r w:rsidR="00523E9D">
        <w:t>tly faster than others. This is not unusual but differences greater than 15% should be examined.</w:t>
      </w:r>
    </w:p>
    <w:p w14:paraId="13F2F66B" w14:textId="77777777" w:rsidR="00BF2700" w:rsidRDefault="00BF2700" w:rsidP="00BF2700">
      <w:r w:rsidRPr="00B0173A">
        <w:rPr>
          <w:noProof/>
        </w:rPr>
        <w:drawing>
          <wp:inline distT="0" distB="0" distL="0" distR="0" wp14:anchorId="2CE0F6C9" wp14:editId="4D683C69">
            <wp:extent cx="4926254" cy="2711450"/>
            <wp:effectExtent l="38100" t="38100" r="26746" b="1270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t="-12" b="20496"/>
                    <a:stretch/>
                  </pic:blipFill>
                  <pic:spPr bwMode="auto">
                    <a:xfrm>
                      <a:off x="0" y="0"/>
                      <a:ext cx="4953002" cy="2726172"/>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a:graphicData>
            </a:graphic>
          </wp:inline>
        </w:drawing>
      </w:r>
    </w:p>
    <w:p w14:paraId="6AE4353E" w14:textId="77777777" w:rsidR="00BF2700" w:rsidRPr="004F49A7" w:rsidRDefault="00BF2700" w:rsidP="00BF2700">
      <w:pPr>
        <w:rPr>
          <w:b/>
        </w:rPr>
      </w:pPr>
      <w:r w:rsidRPr="004F49A7">
        <w:rPr>
          <w:b/>
        </w:rPr>
        <w:t xml:space="preserve">Figure </w:t>
      </w:r>
      <w:r>
        <w:rPr>
          <w:b/>
        </w:rPr>
        <w:t>8</w:t>
      </w:r>
      <w:r w:rsidRPr="004F49A7">
        <w:rPr>
          <w:b/>
        </w:rPr>
        <w:t>:</w:t>
      </w:r>
      <w:r w:rsidRPr="004F49A7">
        <w:t xml:space="preserve"> </w:t>
      </w:r>
      <w:r>
        <w:t>Validating LUN and RAID pair bandwidth</w:t>
      </w:r>
    </w:p>
    <w:p w14:paraId="4FDB8B93" w14:textId="3D578610" w:rsidR="00BF2700" w:rsidRDefault="00523E9D" w:rsidP="00BF2700">
      <w:r>
        <w:t>Run</w:t>
      </w:r>
      <w:r w:rsidR="00BF2700">
        <w:t xml:space="preserve"> simultaneous tests against </w:t>
      </w:r>
      <w:r>
        <w:t>one or more LUN</w:t>
      </w:r>
      <w:r w:rsidR="00BF2700">
        <w:t xml:space="preserve"> that share the same </w:t>
      </w:r>
      <w:r>
        <w:t xml:space="preserve">disk group. </w:t>
      </w:r>
      <w:r w:rsidR="00BF2700">
        <w:t xml:space="preserve">The picture shows the output of tests against 8 </w:t>
      </w:r>
      <w:r>
        <w:t>disk groups</w:t>
      </w:r>
      <w:r w:rsidR="00BF2700">
        <w:t>.</w:t>
      </w:r>
    </w:p>
    <w:p w14:paraId="34867094" w14:textId="77777777" w:rsidR="00BF2700" w:rsidRDefault="00BF2700" w:rsidP="00BF2700">
      <w:r w:rsidRPr="00B0173A">
        <w:rPr>
          <w:noProof/>
        </w:rPr>
        <w:lastRenderedPageBreak/>
        <w:drawing>
          <wp:inline distT="0" distB="0" distL="0" distR="0" wp14:anchorId="32E2553F" wp14:editId="2FED2835">
            <wp:extent cx="4926330" cy="2737320"/>
            <wp:effectExtent l="38100" t="38100" r="26670" b="2493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a:extLst>
                        <a:ext uri="{28A0092B-C50C-407E-A947-70E740481C1C}">
                          <a14:useLocalDpi xmlns:a14="http://schemas.microsoft.com/office/drawing/2010/main" val="0"/>
                        </a:ext>
                      </a:extLst>
                    </a:blip>
                    <a:srcRect t="2" b="19473"/>
                    <a:stretch/>
                  </pic:blipFill>
                  <pic:spPr bwMode="auto">
                    <a:xfrm>
                      <a:off x="0" y="0"/>
                      <a:ext cx="4926330" cy="27373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a:graphicData>
            </a:graphic>
          </wp:inline>
        </w:drawing>
      </w:r>
    </w:p>
    <w:p w14:paraId="2499A001" w14:textId="02814B2E" w:rsidR="00BF2700" w:rsidRPr="004F49A7" w:rsidRDefault="00BF2700" w:rsidP="00BF2700">
      <w:pPr>
        <w:rPr>
          <w:b/>
        </w:rPr>
      </w:pPr>
      <w:r w:rsidRPr="004F49A7">
        <w:rPr>
          <w:b/>
        </w:rPr>
        <w:t xml:space="preserve">Figure </w:t>
      </w:r>
      <w:r>
        <w:rPr>
          <w:b/>
        </w:rPr>
        <w:t>9</w:t>
      </w:r>
      <w:r w:rsidRPr="004F49A7">
        <w:rPr>
          <w:b/>
        </w:rPr>
        <w:t xml:space="preserve">: </w:t>
      </w:r>
      <w:r w:rsidRPr="004F49A7">
        <w:t xml:space="preserve">Testing LUNs </w:t>
      </w:r>
      <w:r>
        <w:t>that share</w:t>
      </w:r>
      <w:r w:rsidRPr="004F49A7">
        <w:t xml:space="preserve"> </w:t>
      </w:r>
      <w:r w:rsidR="00523E9D">
        <w:t>disk groups.</w:t>
      </w:r>
    </w:p>
    <w:p w14:paraId="349C0FB8" w14:textId="77777777" w:rsidR="00BF2700" w:rsidRDefault="00BF2700" w:rsidP="00BF2700">
      <w:pPr>
        <w:pStyle w:val="Heading4"/>
      </w:pPr>
      <w:r w:rsidRPr="000921D5">
        <w:t>Validate Aggregate Bandwidth</w:t>
      </w:r>
      <w:r>
        <w:t xml:space="preserve"> (from Disk)</w:t>
      </w:r>
    </w:p>
    <w:p w14:paraId="6213D903" w14:textId="77777777" w:rsidR="00BF2700" w:rsidRDefault="00BF2700" w:rsidP="00BF2700">
      <w:r>
        <w:t>The following test demonstrates the effect of stepping up the I/O throughput, adding in an additional LUN into the test at regular intervals. As each test runs for a set interval, you see a step down. You should observe a similar pattern. Peak aggregate bandwidth from disk should approach 80 percent to 90 percent of the bandwidth demonstrated from cache in the first step. The graph shows the test at multiple block sizes 512K and 64K.</w:t>
      </w:r>
    </w:p>
    <w:p w14:paraId="2E7939C2" w14:textId="77777777" w:rsidR="00BF2700" w:rsidRDefault="00BF2700" w:rsidP="00BF2700">
      <w:r w:rsidRPr="00B0173A">
        <w:rPr>
          <w:noProof/>
        </w:rPr>
        <w:drawing>
          <wp:inline distT="0" distB="0" distL="0" distR="0" wp14:anchorId="382C3652" wp14:editId="132CC30E">
            <wp:extent cx="5730240" cy="2575560"/>
            <wp:effectExtent l="38100" t="38100" r="22860" b="152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240" cy="257556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BA99001" w14:textId="77777777" w:rsidR="00BF2700" w:rsidRDefault="00BF2700" w:rsidP="00BF2700">
      <w:r w:rsidRPr="004F49A7">
        <w:rPr>
          <w:b/>
        </w:rPr>
        <w:t>Figure 10:</w:t>
      </w:r>
      <w:r>
        <w:t xml:space="preserve"> Aggregate bandwidth at multiple block sizes</w:t>
      </w:r>
    </w:p>
    <w:p w14:paraId="33066FF9" w14:textId="77777777" w:rsidR="00BF2700" w:rsidRDefault="00BF2700" w:rsidP="00BF2700">
      <w:pPr>
        <w:pStyle w:val="Heading2"/>
      </w:pPr>
      <w:bookmarkStart w:id="28" w:name="_Toc284834184"/>
      <w:r>
        <w:lastRenderedPageBreak/>
        <w:t>Workload Testing</w:t>
      </w:r>
      <w:bookmarkEnd w:id="28"/>
    </w:p>
    <w:p w14:paraId="190275CE" w14:textId="77777777" w:rsidR="00BF2700" w:rsidRDefault="00BF2700" w:rsidP="00BF2700">
      <w:pPr>
        <w:pStyle w:val="Heading3"/>
      </w:pPr>
      <w:r>
        <w:t>Measuring the MCR for Your Server (Optional)</w:t>
      </w:r>
    </w:p>
    <w:p w14:paraId="0E6E2B38" w14:textId="77777777" w:rsidR="00BF2700" w:rsidRDefault="00BF2700" w:rsidP="00BF2700">
      <w:r>
        <w:t xml:space="preserve">The goal of MCR is to estimate the maximum throughput of a single CPU core, running SQL Server, in absence of I/O bottleneck issues. MCR is evaluated per core. If you chose to calculate this for your own server, additional details describing the methodology for calculating MCR are provided here: </w:t>
      </w:r>
    </w:p>
    <w:p w14:paraId="337CAC7B" w14:textId="77777777" w:rsidR="00BF2700" w:rsidRDefault="00BF2700" w:rsidP="00BF2700">
      <w:pPr>
        <w:pStyle w:val="ListParagraph"/>
        <w:numPr>
          <w:ilvl w:val="0"/>
          <w:numId w:val="45"/>
        </w:numPr>
      </w:pPr>
      <w:r>
        <w:t xml:space="preserve">Create a reference dataset based on the TPC-H lineitem table or similar data set. The table should be of a size that it can be entirely cached in the SQL Server buffer pool yet still maintain a minimum 2 second execution time for the query provided here. </w:t>
      </w:r>
    </w:p>
    <w:p w14:paraId="50F1B9CF" w14:textId="77777777" w:rsidR="00BF2700" w:rsidRDefault="00BF2700" w:rsidP="00BF2700">
      <w:pPr>
        <w:pStyle w:val="ListParagraph"/>
        <w:numPr>
          <w:ilvl w:val="0"/>
          <w:numId w:val="45"/>
        </w:numPr>
      </w:pPr>
      <w:r>
        <w:t>For FTDW 3.0 the following query is used:</w:t>
      </w:r>
      <w:r w:rsidRPr="002B29EF">
        <w:rPr>
          <w:i/>
        </w:rPr>
        <w:t xml:space="preserve"> </w:t>
      </w:r>
      <w:r>
        <w:rPr>
          <w:i/>
        </w:rPr>
        <w:t>SELECT</w:t>
      </w:r>
      <w:r w:rsidRPr="002B29EF">
        <w:rPr>
          <w:i/>
        </w:rPr>
        <w:t xml:space="preserve"> sum([integer field]) </w:t>
      </w:r>
      <w:r>
        <w:rPr>
          <w:i/>
        </w:rPr>
        <w:t>FROM</w:t>
      </w:r>
      <w:r w:rsidRPr="002B29EF">
        <w:rPr>
          <w:i/>
        </w:rPr>
        <w:t xml:space="preserve"> [table] </w:t>
      </w:r>
      <w:r>
        <w:rPr>
          <w:i/>
        </w:rPr>
        <w:t>WHERE [restrict to appropriate data volume</w:t>
      </w:r>
      <w:r w:rsidRPr="002B29EF">
        <w:rPr>
          <w:i/>
        </w:rPr>
        <w:t xml:space="preserve">] </w:t>
      </w:r>
      <w:r>
        <w:rPr>
          <w:i/>
        </w:rPr>
        <w:t>GROUP BY</w:t>
      </w:r>
      <w:r w:rsidRPr="002B29EF">
        <w:rPr>
          <w:i/>
        </w:rPr>
        <w:t xml:space="preserve"> [col].</w:t>
      </w:r>
      <w:r>
        <w:t xml:space="preserve"> </w:t>
      </w:r>
    </w:p>
    <w:p w14:paraId="64720CD8" w14:textId="77777777" w:rsidR="00BF2700" w:rsidRDefault="00BF2700" w:rsidP="00BF2700">
      <w:pPr>
        <w:pStyle w:val="ListParagraph"/>
        <w:numPr>
          <w:ilvl w:val="0"/>
          <w:numId w:val="45"/>
        </w:numPr>
      </w:pPr>
      <w:r>
        <w:t>The environment should:</w:t>
      </w:r>
    </w:p>
    <w:p w14:paraId="0663A1B9" w14:textId="77777777" w:rsidR="00BF2700" w:rsidRDefault="00BF2700" w:rsidP="00BF2700">
      <w:pPr>
        <w:pStyle w:val="ListParagraph"/>
        <w:numPr>
          <w:ilvl w:val="1"/>
          <w:numId w:val="45"/>
        </w:numPr>
      </w:pPr>
      <w:r>
        <w:t>Ensure that Resource Governor is set to default values.</w:t>
      </w:r>
    </w:p>
    <w:p w14:paraId="373FF539" w14:textId="77777777" w:rsidR="00BF2700" w:rsidRDefault="00BF2700" w:rsidP="00BF2700">
      <w:pPr>
        <w:pStyle w:val="ListParagraph"/>
        <w:numPr>
          <w:ilvl w:val="1"/>
          <w:numId w:val="45"/>
        </w:numPr>
      </w:pPr>
      <w:r>
        <w:t>Ensure that the query is executing from the buffer cache. Executing the query once should put the pages into the buffer and subsequent executions should read fully from buffer. Validate that there are no physical reads in the query statistics output.</w:t>
      </w:r>
    </w:p>
    <w:p w14:paraId="2BAF5C55" w14:textId="77777777" w:rsidR="00BF2700" w:rsidRDefault="00BF2700" w:rsidP="00BF2700">
      <w:pPr>
        <w:pStyle w:val="ListParagraph"/>
        <w:numPr>
          <w:ilvl w:val="1"/>
          <w:numId w:val="45"/>
        </w:numPr>
      </w:pPr>
      <w:r>
        <w:t>Set STATISTICS IO and STATISTICS TIME to ON to output results.</w:t>
      </w:r>
    </w:p>
    <w:p w14:paraId="0175ED71" w14:textId="77777777" w:rsidR="00BF2700" w:rsidRDefault="00BF2700" w:rsidP="00BF2700">
      <w:pPr>
        <w:pStyle w:val="ListParagraph"/>
        <w:numPr>
          <w:ilvl w:val="0"/>
          <w:numId w:val="45"/>
        </w:numPr>
      </w:pPr>
      <w:r>
        <w:t xml:space="preserve">Run the query multiple times, at MAXDOP = 4. </w:t>
      </w:r>
    </w:p>
    <w:p w14:paraId="2422C33F" w14:textId="77777777" w:rsidR="00BF2700" w:rsidRDefault="00BF2700" w:rsidP="00BF2700">
      <w:pPr>
        <w:pStyle w:val="ListParagraph"/>
        <w:numPr>
          <w:ilvl w:val="1"/>
          <w:numId w:val="45"/>
        </w:numPr>
      </w:pPr>
      <w:r>
        <w:t>Record the number of logical reads and CPU time from the statistics output for each query execution.</w:t>
      </w:r>
    </w:p>
    <w:p w14:paraId="64A90E65" w14:textId="77777777" w:rsidR="00BF2700" w:rsidRDefault="00BF2700" w:rsidP="00BF2700">
      <w:pPr>
        <w:pStyle w:val="ListParagraph"/>
        <w:numPr>
          <w:ilvl w:val="1"/>
          <w:numId w:val="45"/>
        </w:numPr>
      </w:pPr>
      <w:r>
        <w:t>Calculate the MCR in MB/s using the formula:</w:t>
      </w:r>
      <w:r>
        <w:br/>
      </w:r>
      <w:r w:rsidRPr="00D938E6">
        <w:tab/>
        <w:t>(</w:t>
      </w:r>
      <w:r>
        <w:t xml:space="preserve"> </w:t>
      </w:r>
      <w:r w:rsidRPr="00D938E6">
        <w:t>[Logical reads]</w:t>
      </w:r>
      <w:r>
        <w:t xml:space="preserve"> </w:t>
      </w:r>
      <w:r w:rsidRPr="00D938E6">
        <w:t>/</w:t>
      </w:r>
      <w:r>
        <w:t xml:space="preserve"> </w:t>
      </w:r>
      <w:r w:rsidRPr="00D938E6">
        <w:t>[CPU time</w:t>
      </w:r>
      <w:r>
        <w:t xml:space="preserve"> in seconds</w:t>
      </w:r>
      <w:r w:rsidRPr="00D938E6">
        <w:t>]</w:t>
      </w:r>
      <w:r>
        <w:t xml:space="preserve"> </w:t>
      </w:r>
      <w:r w:rsidRPr="00D938E6">
        <w:t>) * 8KB / 1024</w:t>
      </w:r>
    </w:p>
    <w:p w14:paraId="449A1B1C" w14:textId="77777777" w:rsidR="00BF2700" w:rsidRDefault="00BF2700" w:rsidP="00BF2700">
      <w:pPr>
        <w:pStyle w:val="ListParagraph"/>
        <w:numPr>
          <w:ilvl w:val="1"/>
          <w:numId w:val="45"/>
        </w:numPr>
      </w:pPr>
      <w:r>
        <w:t>A consistent range of values (+/- 5%) should appear over a minimum of five query executions. Significant outliers (+/- 20% or more) may indicate configuration issues. The average of at least 5 calculated results is the FTDW MCR.</w:t>
      </w:r>
    </w:p>
    <w:p w14:paraId="670EDE3B" w14:textId="77777777" w:rsidR="00BF2700" w:rsidRDefault="00BF2700" w:rsidP="00BF2700">
      <w:pPr>
        <w:pStyle w:val="Heading3"/>
      </w:pPr>
      <w:r>
        <w:t>Measuring the BCR for Your Workload</w:t>
      </w:r>
    </w:p>
    <w:p w14:paraId="40706E33" w14:textId="77777777" w:rsidR="00BF2700" w:rsidRDefault="00BF2700" w:rsidP="00BF2700">
      <w:r>
        <w:t>BCR measurement is similar to MCR measurement, except that data is serviced from disk, not from cache. The query and dataset for BCR is representative of your target data warehousing workload.</w:t>
      </w:r>
    </w:p>
    <w:p w14:paraId="34408287" w14:textId="77777777" w:rsidR="00BF2700" w:rsidRDefault="00BF2700" w:rsidP="00BF2700">
      <w:r>
        <w:t>One approach for BCR is to take a simple query, an average query, and a complex query from the workload. The complex queries should be those that put more demands on the CPU. The simple query should be analogous to the MCR and should do a similar amount of work, so that it is comparable to the MCR.</w:t>
      </w:r>
    </w:p>
    <w:p w14:paraId="29DC5361" w14:textId="77777777" w:rsidR="00BF2700" w:rsidRDefault="00BF2700" w:rsidP="00BF2700">
      <w:pPr>
        <w:pStyle w:val="Heading4"/>
      </w:pPr>
      <w:r>
        <w:t>Creating the Database</w:t>
      </w:r>
    </w:p>
    <w:p w14:paraId="04777E05" w14:textId="77777777" w:rsidR="00BF2700" w:rsidRPr="000D032D" w:rsidRDefault="00BF2700" w:rsidP="00BF2700">
      <w:r>
        <w:t>Here is an example of a CREATE DATABASE statement for an 8-core Fast Track Data Warehouse system, with 16 data LUNs.</w:t>
      </w:r>
    </w:p>
    <w:p w14:paraId="772A27C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CREATE DATABASE FT_Demo ON  PRIMARY Filegroup  FT_Demo</w:t>
      </w:r>
    </w:p>
    <w:p w14:paraId="2744222F"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'FT_Demo_.mdf' , FILENAME = N'C:\FT\PRI\SE1-SP1-DG1-v1' , SIZE = 100MB , FILEGROWTH = 0 ),</w:t>
      </w:r>
    </w:p>
    <w:p w14:paraId="7BE01D58"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lastRenderedPageBreak/>
        <w:t>( NAME = N 'FT_Demo_v1.ndf' , FILENAME = N'C:\FT\PRI\SE1-SP1-DG1-v1' , SIZE = 417GB ,  FILEGROWTH = 0 ),</w:t>
      </w:r>
    </w:p>
    <w:p w14:paraId="5FD2A29E"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'FT_Demo_v2.ndf' , FILENAME = N'C:\FT\PRI\SE1-SP1-DG2-v2' , SIZE = 417GB ,  FILEGROWTH = 0 ),</w:t>
      </w:r>
    </w:p>
    <w:p w14:paraId="2EB565BC"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'FT_Demo_v3.ndf' , FILENAME = N'C:\FT\PRI\SE1-SP2-DG3-v3' , SIZE = 417GB ,  FILEGROWTH = 0 ),</w:t>
      </w:r>
    </w:p>
    <w:p w14:paraId="000CAB1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'FT_Demo_v4.ndf' , FILENAME = N'C:\FT\PRI\SE1-SP2-DG4-v4' , SIZE = 417GB ,  FILEGROWTH = 0 ),</w:t>
      </w:r>
    </w:p>
    <w:p w14:paraId="010BC036"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xml:space="preserve"> </w:t>
      </w:r>
    </w:p>
    <w:p w14:paraId="3AD995F6"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'FT_Demo_v6.ndf' , FILENAME = N'C:\FT\PRI\SE2-SP1-DG6-v6' , SIZE = 417GB ,  FILEGROWTH = 0 ),</w:t>
      </w:r>
    </w:p>
    <w:p w14:paraId="485AC44B"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'FT_Demo_v7.ndf' , FILENAME = N'C:\FT\PRI\SE2-SP1-DG7-v7' , SIZE = 417GB ,  FILEGROWTH = 0 ),</w:t>
      </w:r>
    </w:p>
    <w:p w14:paraId="5D2949CF"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'FT_Demo_v8.ndf' , FILENAME = N'C:\FT\PRI\SE2-SP2-DG8-v8' , SIZE = 417GB ,  FILEGROWTH = 0 ),</w:t>
      </w:r>
    </w:p>
    <w:p w14:paraId="14017EDE"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'FT_Demo_v9.ndf' , FILENAME = N'C:\FT\PRI\SE2-SP2-DG9-v9' , SIZE = 417GB ,  FILEGROWTH = 0 ),</w:t>
      </w:r>
    </w:p>
    <w:p w14:paraId="186CB70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xml:space="preserve"> </w:t>
      </w:r>
    </w:p>
    <w:p w14:paraId="1DB58F96"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'FT_Demo_v11.ndf' , FILENAME = N'C:\FT\PRI\SE3-SP1-DG11-v11' , SIZE = 417GB ,  FILEGROWTH = 0 ),</w:t>
      </w:r>
    </w:p>
    <w:p w14:paraId="5952286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'FT_Demo_v12.ndf' , FILENAME = N'C:\FT\PRI\SE3-SP1-DG12-v12' , SIZE = 417GB ,  FILEGROWTH = 0 ),</w:t>
      </w:r>
    </w:p>
    <w:p w14:paraId="3FE42EF6"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'FT_Demo_v13.ndf' , FILENAME = N'C:\FT\PRI\SE3-SP2-DG13-v13' , SIZE = 417GB ,  FILEGROWTH = 0 ),</w:t>
      </w:r>
    </w:p>
    <w:p w14:paraId="2FEA7AC5"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'FT_Demo_v14.ndf' , FILENAME = N'C:\FT\PRI\SE3-SP2-DG14-v14' , SIZE = 417GB ,  FILEGROWTH = 0 ),</w:t>
      </w:r>
    </w:p>
    <w:p w14:paraId="5174A48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xml:space="preserve"> </w:t>
      </w:r>
    </w:p>
    <w:p w14:paraId="02D84AB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3EB67A56"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LOG ON</w:t>
      </w:r>
    </w:p>
    <w:p w14:paraId="79800FC1"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NAME = N 'FT_LOG_v5.ldf' , FILENAME = N 'C:\FT\LOG\SE1-SP2-DG5-v5' , SIZE = 100GB , MAXSIZE = 500GB , FILEGROWTH = 50 )</w:t>
      </w:r>
    </w:p>
    <w:p w14:paraId="40E9602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541A16D3"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07EA7D0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49CAA63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/*****************Configure recommended settings***********************/</w:t>
      </w:r>
    </w:p>
    <w:p w14:paraId="7E56984A"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ALTER DATABASE FT_Demo SET AUTO_CREATE_STATISTICS ON</w:t>
      </w:r>
    </w:p>
    <w:p w14:paraId="5B1D3DB3"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0BD4EEBF"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02D7CC63"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ALTER DATABASE  FT_Demo  SET AUTO_UPDATE_STATISTICS ON</w:t>
      </w:r>
    </w:p>
    <w:p w14:paraId="2BC8B1E1"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4D5CDC4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7E7AA07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xml:space="preserve">ALTER DATABASE  FT_Demo  SET AUTO_UPDATE_STATISTICS_ASYNC ON </w:t>
      </w:r>
    </w:p>
    <w:p w14:paraId="416A38C3"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23107AB7"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4A408B35"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xml:space="preserve">ALTER DATABASE  FT_Demo  SET RECOVERY SIMPLE </w:t>
      </w:r>
    </w:p>
    <w:p w14:paraId="29294A18"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300C4C6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62DB71B7"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sp_configure 'show advanced options', 1</w:t>
      </w:r>
    </w:p>
    <w:p w14:paraId="17A66E12"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66D9744A"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3F4F2D39"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reconfigure with override</w:t>
      </w:r>
    </w:p>
    <w:p w14:paraId="5B86C497"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5C30A960"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p>
    <w:p w14:paraId="51DE9D84"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 xml:space="preserve">/********Make sure all tables go on our filegroup and not </w:t>
      </w:r>
      <w:r>
        <w:rPr>
          <w:rFonts w:ascii="Courier New" w:hAnsi="Courier New" w:cs="Courier New"/>
          <w:noProof/>
          <w:color w:val="0000FF"/>
          <w:sz w:val="18"/>
          <w:szCs w:val="18"/>
        </w:rPr>
        <w:t xml:space="preserve">the </w:t>
      </w:r>
      <w:r w:rsidRPr="00400C7C">
        <w:rPr>
          <w:rFonts w:ascii="Courier New" w:hAnsi="Courier New" w:cs="Courier New"/>
          <w:noProof/>
          <w:color w:val="0000FF"/>
          <w:sz w:val="18"/>
          <w:szCs w:val="18"/>
        </w:rPr>
        <w:t>Primary filegroup****/</w:t>
      </w:r>
    </w:p>
    <w:p w14:paraId="644DC265"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ALTER DATABASE  FT_Demo</w:t>
      </w:r>
    </w:p>
    <w:p w14:paraId="162776AF"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MODIFY FILEGROUP FT_Demo</w:t>
      </w:r>
    </w:p>
    <w:p w14:paraId="0300D0D3" w14:textId="77777777" w:rsidR="00BF2700" w:rsidRPr="00400C7C"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DEFAULT</w:t>
      </w:r>
    </w:p>
    <w:p w14:paraId="5157D970" w14:textId="77777777" w:rsidR="00BF2700" w:rsidRPr="00B0173A" w:rsidRDefault="00BF2700" w:rsidP="00BF2700">
      <w:pPr>
        <w:autoSpaceDE w:val="0"/>
        <w:autoSpaceDN w:val="0"/>
        <w:adjustRightInd w:val="0"/>
        <w:spacing w:after="0" w:line="240" w:lineRule="auto"/>
        <w:rPr>
          <w:rFonts w:ascii="Courier New" w:hAnsi="Courier New" w:cs="Courier New"/>
          <w:noProof/>
          <w:color w:val="0000FF"/>
          <w:sz w:val="18"/>
          <w:szCs w:val="18"/>
        </w:rPr>
      </w:pPr>
      <w:r w:rsidRPr="00400C7C">
        <w:rPr>
          <w:rFonts w:ascii="Courier New" w:hAnsi="Courier New" w:cs="Courier New"/>
          <w:noProof/>
          <w:color w:val="0000FF"/>
          <w:sz w:val="18"/>
          <w:szCs w:val="18"/>
        </w:rPr>
        <w:t>GO</w:t>
      </w:r>
    </w:p>
    <w:p w14:paraId="323D6CAA" w14:textId="77777777" w:rsidR="00BF2700" w:rsidRDefault="00BF2700" w:rsidP="00BF2700">
      <w:pPr>
        <w:pStyle w:val="Heading4"/>
      </w:pPr>
      <w:r>
        <w:t>Creating the Test Tables</w:t>
      </w:r>
    </w:p>
    <w:p w14:paraId="797E9178" w14:textId="77777777" w:rsidR="00BF2700" w:rsidRPr="002B29EF" w:rsidRDefault="00BF2700" w:rsidP="00BF2700">
      <w:r>
        <w:t>Here is an example CREATE TABLE statement.</w:t>
      </w:r>
    </w:p>
    <w:p w14:paraId="079F8F06" w14:textId="77777777" w:rsidR="00BF2700" w:rsidRDefault="00BF2700" w:rsidP="00BF2700">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TABLE</w:t>
      </w:r>
      <w:r>
        <w:rPr>
          <w:rFonts w:ascii="Courier New" w:hAnsi="Courier New" w:cs="Courier New"/>
          <w:noProof/>
          <w:sz w:val="20"/>
          <w:szCs w:val="20"/>
        </w:rPr>
        <w:t xml:space="preserve"> lineitem</w:t>
      </w:r>
    </w:p>
    <w:p w14:paraId="0F3E9859"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lastRenderedPageBreak/>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l_orderkey      </w:t>
      </w:r>
      <w:r>
        <w:rPr>
          <w:rFonts w:ascii="Courier New" w:hAnsi="Courier New" w:cs="Courier New"/>
          <w:noProof/>
          <w:color w:val="0000FF"/>
          <w:sz w:val="20"/>
          <w:szCs w:val="20"/>
        </w:rPr>
        <w:t>bigint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6F674687"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l_partkey       </w:t>
      </w:r>
      <w:r>
        <w:rPr>
          <w:rFonts w:ascii="Courier New" w:hAnsi="Courier New" w:cs="Courier New"/>
          <w:noProof/>
          <w:color w:val="0000FF"/>
          <w:sz w:val="20"/>
          <w:szCs w:val="20"/>
        </w:rPr>
        <w:t>integer</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68098BB9"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l_suppkey       </w:t>
      </w:r>
      <w:r>
        <w:rPr>
          <w:rFonts w:ascii="Courier New" w:hAnsi="Courier New" w:cs="Courier New"/>
          <w:noProof/>
          <w:color w:val="0000FF"/>
          <w:sz w:val="20"/>
          <w:szCs w:val="20"/>
        </w:rPr>
        <w:t>integer</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51421A96"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l_linenumber    </w:t>
      </w:r>
      <w:r>
        <w:rPr>
          <w:rFonts w:ascii="Courier New" w:hAnsi="Courier New" w:cs="Courier New"/>
          <w:noProof/>
          <w:color w:val="0000FF"/>
          <w:sz w:val="20"/>
          <w:szCs w:val="20"/>
        </w:rPr>
        <w:t>integer</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7002D949"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l_quantity      </w:t>
      </w:r>
      <w:r>
        <w:rPr>
          <w:rFonts w:ascii="Courier New" w:hAnsi="Courier New" w:cs="Courier New"/>
          <w:noProof/>
          <w:color w:val="0000FF"/>
          <w:sz w:val="20"/>
          <w:szCs w:val="20"/>
        </w:rPr>
        <w:t>float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3856BBD5"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l_extendedprice </w:t>
      </w:r>
      <w:r>
        <w:rPr>
          <w:rFonts w:ascii="Courier New" w:hAnsi="Courier New" w:cs="Courier New"/>
          <w:noProof/>
          <w:color w:val="0000FF"/>
          <w:sz w:val="20"/>
          <w:szCs w:val="20"/>
        </w:rPr>
        <w:t>float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7270AD06"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l_discount      </w:t>
      </w:r>
      <w:r>
        <w:rPr>
          <w:rFonts w:ascii="Courier New" w:hAnsi="Courier New" w:cs="Courier New"/>
          <w:noProof/>
          <w:color w:val="0000FF"/>
          <w:sz w:val="20"/>
          <w:szCs w:val="20"/>
        </w:rPr>
        <w:t>float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67AAA66E"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l_tax           </w:t>
      </w:r>
      <w:r>
        <w:rPr>
          <w:rFonts w:ascii="Courier New" w:hAnsi="Courier New" w:cs="Courier New"/>
          <w:noProof/>
          <w:color w:val="0000FF"/>
          <w:sz w:val="20"/>
          <w:szCs w:val="20"/>
        </w:rPr>
        <w:t>float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18BFAF7E"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l_returnflag    </w:t>
      </w:r>
      <w:r>
        <w:rPr>
          <w:rFonts w:ascii="Courier New" w:hAnsi="Courier New" w:cs="Courier New"/>
          <w:noProof/>
          <w:color w:val="0000FF"/>
          <w:sz w:val="20"/>
          <w:szCs w:val="20"/>
        </w:rPr>
        <w:t>char</w:t>
      </w:r>
      <w:r>
        <w:rPr>
          <w:rFonts w:ascii="Courier New" w:hAnsi="Courier New" w:cs="Courier New"/>
          <w:noProof/>
          <w:color w:val="808080"/>
          <w:sz w:val="20"/>
          <w:szCs w:val="20"/>
        </w:rPr>
        <w:t>(</w:t>
      </w:r>
      <w:r>
        <w:rPr>
          <w:rFonts w:ascii="Courier New" w:hAnsi="Courier New" w:cs="Courier New"/>
          <w:noProof/>
          <w:sz w:val="20"/>
          <w:szCs w:val="20"/>
        </w:rPr>
        <w:t>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0CBC2CF9"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l_linestatus    </w:t>
      </w:r>
      <w:r>
        <w:rPr>
          <w:rFonts w:ascii="Courier New" w:hAnsi="Courier New" w:cs="Courier New"/>
          <w:noProof/>
          <w:color w:val="0000FF"/>
          <w:sz w:val="20"/>
          <w:szCs w:val="20"/>
        </w:rPr>
        <w:t>char</w:t>
      </w:r>
      <w:r>
        <w:rPr>
          <w:rFonts w:ascii="Courier New" w:hAnsi="Courier New" w:cs="Courier New"/>
          <w:noProof/>
          <w:color w:val="808080"/>
          <w:sz w:val="20"/>
          <w:szCs w:val="20"/>
        </w:rPr>
        <w:t>(</w:t>
      </w:r>
      <w:r>
        <w:rPr>
          <w:rFonts w:ascii="Courier New" w:hAnsi="Courier New" w:cs="Courier New"/>
          <w:noProof/>
          <w:sz w:val="20"/>
          <w:szCs w:val="20"/>
        </w:rPr>
        <w:t>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2A1608C7"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l_shipdate      </w:t>
      </w:r>
      <w:r>
        <w:rPr>
          <w:rFonts w:ascii="Courier New" w:hAnsi="Courier New" w:cs="Courier New"/>
          <w:noProof/>
          <w:color w:val="0000FF"/>
          <w:sz w:val="20"/>
          <w:szCs w:val="20"/>
        </w:rPr>
        <w:t>datetime</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2A5B763D"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l_commitdate    </w:t>
      </w:r>
      <w:r>
        <w:rPr>
          <w:rFonts w:ascii="Courier New" w:hAnsi="Courier New" w:cs="Courier New"/>
          <w:noProof/>
          <w:color w:val="0000FF"/>
          <w:sz w:val="20"/>
          <w:szCs w:val="20"/>
        </w:rPr>
        <w:t>datetime</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11D3C1A1"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l_receiptdate   </w:t>
      </w:r>
      <w:r>
        <w:rPr>
          <w:rFonts w:ascii="Courier New" w:hAnsi="Courier New" w:cs="Courier New"/>
          <w:noProof/>
          <w:color w:val="0000FF"/>
          <w:sz w:val="20"/>
          <w:szCs w:val="20"/>
        </w:rPr>
        <w:t>datetime</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03B7EB33"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l_shipinstruct  </w:t>
      </w:r>
      <w:r>
        <w:rPr>
          <w:rFonts w:ascii="Courier New" w:hAnsi="Courier New" w:cs="Courier New"/>
          <w:noProof/>
          <w:color w:val="0000FF"/>
          <w:sz w:val="20"/>
          <w:szCs w:val="20"/>
        </w:rPr>
        <w:t>char</w:t>
      </w:r>
      <w:r>
        <w:rPr>
          <w:rFonts w:ascii="Courier New" w:hAnsi="Courier New" w:cs="Courier New"/>
          <w:noProof/>
          <w:color w:val="808080"/>
          <w:sz w:val="20"/>
          <w:szCs w:val="20"/>
        </w:rPr>
        <w:t>(</w:t>
      </w:r>
      <w:r>
        <w:rPr>
          <w:rFonts w:ascii="Courier New" w:hAnsi="Courier New" w:cs="Courier New"/>
          <w:noProof/>
          <w:sz w:val="20"/>
          <w:szCs w:val="20"/>
        </w:rPr>
        <w:t>25</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41C6AF5C"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l_shipmode      </w:t>
      </w:r>
      <w:r>
        <w:rPr>
          <w:rFonts w:ascii="Courier New" w:hAnsi="Courier New" w:cs="Courier New"/>
          <w:noProof/>
          <w:color w:val="0000FF"/>
          <w:sz w:val="20"/>
          <w:szCs w:val="20"/>
        </w:rPr>
        <w:t>char</w:t>
      </w:r>
      <w:r>
        <w:rPr>
          <w:rFonts w:ascii="Courier New" w:hAnsi="Courier New" w:cs="Courier New"/>
          <w:noProof/>
          <w:color w:val="808080"/>
          <w:sz w:val="20"/>
          <w:szCs w:val="20"/>
        </w:rPr>
        <w:t>(</w:t>
      </w:r>
      <w:r>
        <w:rPr>
          <w:rFonts w:ascii="Courier New" w:hAnsi="Courier New" w:cs="Courier New"/>
          <w:noProof/>
          <w:sz w:val="20"/>
          <w:szCs w:val="20"/>
        </w:rPr>
        <w:t>10</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7E424039"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l_comment       </w:t>
      </w:r>
      <w:r>
        <w:rPr>
          <w:rFonts w:ascii="Courier New" w:hAnsi="Courier New" w:cs="Courier New"/>
          <w:noProof/>
          <w:color w:val="0000FF"/>
          <w:sz w:val="20"/>
          <w:szCs w:val="20"/>
        </w:rPr>
        <w:t>varchar</w:t>
      </w:r>
      <w:r>
        <w:rPr>
          <w:rFonts w:ascii="Courier New" w:hAnsi="Courier New" w:cs="Courier New"/>
          <w:noProof/>
          <w:color w:val="808080"/>
          <w:sz w:val="20"/>
          <w:szCs w:val="20"/>
        </w:rPr>
        <w:t>(</w:t>
      </w:r>
      <w:r>
        <w:rPr>
          <w:rFonts w:ascii="Courier New" w:hAnsi="Courier New" w:cs="Courier New"/>
          <w:noProof/>
          <w:sz w:val="20"/>
          <w:szCs w:val="20"/>
        </w:rPr>
        <w:t>132</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not</w:t>
      </w:r>
      <w:r>
        <w:rPr>
          <w:rFonts w:ascii="Courier New" w:hAnsi="Courier New" w:cs="Courier New"/>
          <w:noProof/>
          <w:sz w:val="20"/>
          <w:szCs w:val="20"/>
        </w:rPr>
        <w:t xml:space="preserve"> </w:t>
      </w:r>
      <w:r>
        <w:rPr>
          <w:rFonts w:ascii="Courier New" w:hAnsi="Courier New" w:cs="Courier New"/>
          <w:noProof/>
          <w:color w:val="808080"/>
          <w:sz w:val="20"/>
          <w:szCs w:val="20"/>
        </w:rPr>
        <w:t>null</w:t>
      </w:r>
    </w:p>
    <w:p w14:paraId="4EA6C8D0"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p>
    <w:p w14:paraId="6F72A203" w14:textId="77777777" w:rsidR="00BF2700" w:rsidRDefault="00BF2700" w:rsidP="00BF2700">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FT_Demo</w:t>
      </w:r>
    </w:p>
    <w:p w14:paraId="1BBE2DC0" w14:textId="77777777" w:rsidR="00BF2700" w:rsidRDefault="00BF2700" w:rsidP="00BF2700">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14:paraId="69EDDE83" w14:textId="77777777" w:rsidR="00BF2700" w:rsidRDefault="00BF2700" w:rsidP="00BF2700">
      <w:pPr>
        <w:autoSpaceDE w:val="0"/>
        <w:autoSpaceDN w:val="0"/>
        <w:adjustRightInd w:val="0"/>
        <w:spacing w:after="0" w:line="240" w:lineRule="auto"/>
        <w:rPr>
          <w:rFonts w:ascii="Courier New" w:hAnsi="Courier New" w:cs="Courier New"/>
          <w:noProof/>
          <w:color w:val="0000FF"/>
          <w:sz w:val="20"/>
          <w:szCs w:val="20"/>
        </w:rPr>
      </w:pPr>
    </w:p>
    <w:p w14:paraId="657E3788" w14:textId="77777777" w:rsidR="00BF2700" w:rsidRDefault="00BF2700" w:rsidP="00BF2700">
      <w:pPr>
        <w:autoSpaceDE w:val="0"/>
        <w:autoSpaceDN w:val="0"/>
        <w:adjustRightInd w:val="0"/>
        <w:spacing w:after="0" w:line="240" w:lineRule="auto"/>
        <w:rPr>
          <w:rFonts w:ascii="Courier New" w:hAnsi="Courier New" w:cs="Courier New"/>
          <w:noProof/>
          <w:color w:val="0000FF"/>
          <w:sz w:val="20"/>
          <w:szCs w:val="20"/>
        </w:rPr>
      </w:pPr>
    </w:p>
    <w:p w14:paraId="3625447C" w14:textId="77777777" w:rsidR="00BF2700" w:rsidRDefault="00BF2700" w:rsidP="00BF2700">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CLUSTERED</w:t>
      </w:r>
      <w:r>
        <w:rPr>
          <w:rFonts w:ascii="Courier New" w:hAnsi="Courier New" w:cs="Courier New"/>
          <w:noProof/>
          <w:sz w:val="20"/>
          <w:szCs w:val="20"/>
        </w:rPr>
        <w:t xml:space="preserve"> </w:t>
      </w:r>
      <w:r>
        <w:rPr>
          <w:rFonts w:ascii="Courier New" w:hAnsi="Courier New" w:cs="Courier New"/>
          <w:noProof/>
          <w:color w:val="0000FF"/>
          <w:sz w:val="20"/>
          <w:szCs w:val="20"/>
        </w:rPr>
        <w:t>INDEX</w:t>
      </w:r>
      <w:r>
        <w:rPr>
          <w:rFonts w:ascii="Courier New" w:hAnsi="Courier New" w:cs="Courier New"/>
          <w:noProof/>
          <w:sz w:val="20"/>
          <w:szCs w:val="20"/>
        </w:rPr>
        <w:t xml:space="preserve"> cidx_lineitem </w:t>
      </w:r>
    </w:p>
    <w:p w14:paraId="4EC107FC"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lineitem</w:t>
      </w:r>
      <w:r>
        <w:rPr>
          <w:rFonts w:ascii="Courier New" w:hAnsi="Courier New" w:cs="Courier New"/>
          <w:noProof/>
          <w:color w:val="808080"/>
          <w:sz w:val="20"/>
          <w:szCs w:val="20"/>
        </w:rPr>
        <w:t>(</w:t>
      </w:r>
      <w:r>
        <w:rPr>
          <w:rFonts w:ascii="Courier New" w:hAnsi="Courier New" w:cs="Courier New"/>
          <w:noProof/>
          <w:sz w:val="20"/>
          <w:szCs w:val="20"/>
        </w:rPr>
        <w:t xml:space="preserve">l_shipdate </w:t>
      </w:r>
      <w:r>
        <w:rPr>
          <w:rFonts w:ascii="Courier New" w:hAnsi="Courier New" w:cs="Courier New"/>
          <w:noProof/>
          <w:color w:val="0000FF"/>
          <w:sz w:val="20"/>
          <w:szCs w:val="20"/>
        </w:rPr>
        <w:t>ASC</w:t>
      </w:r>
      <w:r>
        <w:rPr>
          <w:rFonts w:ascii="Courier New" w:hAnsi="Courier New" w:cs="Courier New"/>
          <w:noProof/>
          <w:color w:val="808080"/>
          <w:sz w:val="20"/>
          <w:szCs w:val="20"/>
        </w:rPr>
        <w:t>)</w:t>
      </w:r>
    </w:p>
    <w:p w14:paraId="5E5C3E90" w14:textId="77777777" w:rsidR="00BF2700" w:rsidRDefault="00BF2700" w:rsidP="00BF2700">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WITH</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SORT_IN_TEMPDB</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ON</w:t>
      </w:r>
    </w:p>
    <w:p w14:paraId="13D9095C" w14:textId="77777777" w:rsidR="00BF2700" w:rsidRDefault="00BF2700" w:rsidP="00BF2700">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DATA_COMPRESSION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PAGE</w:t>
      </w:r>
    </w:p>
    <w:p w14:paraId="0848C93F" w14:textId="77777777" w:rsidR="00BF2700" w:rsidRDefault="00BF2700" w:rsidP="00BF2700">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sz w:val="20"/>
          <w:szCs w:val="20"/>
        </w:rPr>
        <w:t xml:space="preserve">    </w:t>
      </w:r>
      <w:r>
        <w:rPr>
          <w:rFonts w:ascii="Courier New" w:hAnsi="Courier New" w:cs="Courier New"/>
          <w:noProof/>
          <w:color w:val="808080"/>
          <w:sz w:val="20"/>
          <w:szCs w:val="20"/>
        </w:rPr>
        <w:t>)</w:t>
      </w:r>
    </w:p>
    <w:p w14:paraId="6B5D198D" w14:textId="77777777" w:rsidR="00BF2700" w:rsidRDefault="00BF2700" w:rsidP="00BF2700">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ON</w:t>
      </w:r>
      <w:r>
        <w:rPr>
          <w:rFonts w:ascii="Courier New" w:hAnsi="Courier New" w:cs="Courier New"/>
          <w:noProof/>
          <w:sz w:val="20"/>
          <w:szCs w:val="20"/>
        </w:rPr>
        <w:t xml:space="preserve"> FT_Demo</w:t>
      </w:r>
    </w:p>
    <w:p w14:paraId="6DAA21BE" w14:textId="77777777" w:rsidR="00BF2700" w:rsidRDefault="00BF2700" w:rsidP="00BF2700">
      <w:pPr>
        <w:autoSpaceDE w:val="0"/>
        <w:autoSpaceDN w:val="0"/>
        <w:adjustRightInd w:val="0"/>
        <w:spacing w:after="0" w:line="240" w:lineRule="auto"/>
        <w:rPr>
          <w:rFonts w:ascii="Courier New" w:hAnsi="Courier New" w:cs="Courier New"/>
          <w:noProof/>
          <w:color w:val="0000FF"/>
          <w:sz w:val="20"/>
          <w:szCs w:val="20"/>
        </w:rPr>
      </w:pPr>
      <w:r>
        <w:rPr>
          <w:rFonts w:ascii="Courier New" w:hAnsi="Courier New" w:cs="Courier New"/>
          <w:noProof/>
          <w:color w:val="0000FF"/>
          <w:sz w:val="20"/>
          <w:szCs w:val="20"/>
        </w:rPr>
        <w:t>GO</w:t>
      </w:r>
    </w:p>
    <w:p w14:paraId="32DD690A" w14:textId="77777777" w:rsidR="00BF2700" w:rsidRDefault="00BF2700" w:rsidP="00BF2700">
      <w:pPr>
        <w:pStyle w:val="Heading4"/>
      </w:pPr>
      <w:r>
        <w:t>Loading Data for BCR Measurement</w:t>
      </w:r>
    </w:p>
    <w:p w14:paraId="73137793" w14:textId="77777777" w:rsidR="00BF2700" w:rsidRDefault="00BF2700" w:rsidP="00BF2700">
      <w:r>
        <w:t>As described elsewhere in this document, Fast Track Data Warehouse systems are sensitive to the fragmentation of database files. Use one of the techniques this document describes to load data. During FTDW testing, the clustered index load method described as option 2 was used. Using the TPC-H datagen tool, lineitem table data was generated to a size of 70 GB, using options -s100, generating the file in 8 parts, and using the –S and –C options.</w:t>
      </w:r>
    </w:p>
    <w:p w14:paraId="4CDF4587" w14:textId="77777777" w:rsidR="00BF2700" w:rsidRDefault="00BF2700" w:rsidP="00BF2700">
      <w:r>
        <w:t>Trace flag 610 was set during all load operations to use minimal logging where possible.</w:t>
      </w:r>
    </w:p>
    <w:p w14:paraId="2C7B2117" w14:textId="77777777" w:rsidR="00BF2700" w:rsidRDefault="00BF2700" w:rsidP="00BF2700">
      <w:r>
        <w:t>Using BULK INSERT, this data was inserted in parallel into a single clustered index staging table, using minimal logging; we chose a block size that would not overwhelm available memory and that would reduce spillage to disk. Disabling page locks and lock escalation on the staging table improved performance during this phase.</w:t>
      </w:r>
    </w:p>
    <w:p w14:paraId="0AB1290E" w14:textId="77777777" w:rsidR="00BF2700" w:rsidRDefault="00BF2700" w:rsidP="00BF2700">
      <w:r>
        <w:t>A final insert was performed into an identical target table, with MAXDOP 1 (using the TABLOCK hint) and avoiding a sort.</w:t>
      </w:r>
    </w:p>
    <w:p w14:paraId="4980AC51" w14:textId="77777777" w:rsidR="00BF2700" w:rsidRDefault="00BF2700" w:rsidP="00BF2700">
      <w:pPr>
        <w:pStyle w:val="Heading4"/>
      </w:pPr>
      <w:r>
        <w:t>Running Queries for BCR Measurement</w:t>
      </w:r>
    </w:p>
    <w:p w14:paraId="685F7C09" w14:textId="77777777" w:rsidR="00BF2700" w:rsidRDefault="00BF2700" w:rsidP="00BF2700">
      <w:r>
        <w:t xml:space="preserve">Use the SQL Server Profiler tool to record relevant information for query benchmarks. SQL Server Profiler should be set up to record logical reads, CPU, duration, database name, schema name, the SQL statement, and the actual query plans. Alternatively the statistics session parameters </w:t>
      </w:r>
      <w:r>
        <w:rPr>
          <w:rFonts w:ascii="Courier New" w:hAnsi="Courier New" w:cs="Courier New"/>
        </w:rPr>
        <w:t>set statistics io on</w:t>
      </w:r>
      <w:r>
        <w:t xml:space="preserve"> and </w:t>
      </w:r>
      <w:r>
        <w:rPr>
          <w:rFonts w:ascii="Courier New" w:hAnsi="Courier New" w:cs="Courier New"/>
        </w:rPr>
        <w:t>set statistics time on</w:t>
      </w:r>
      <w:r>
        <w:t xml:space="preserve"> can be used.</w:t>
      </w:r>
    </w:p>
    <w:p w14:paraId="32265297" w14:textId="77777777" w:rsidR="00BF2700" w:rsidRDefault="00BF2700" w:rsidP="00BF2700">
      <w:r>
        <w:lastRenderedPageBreak/>
        <w:t>Here are a few example queries (based on queries from the TPC-H benchmark) and the BCR achieved on reference systems.</w:t>
      </w:r>
    </w:p>
    <w:tbl>
      <w:tblPr>
        <w:tblStyle w:val="LightShading-Accent2"/>
        <w:tblW w:w="0" w:type="auto"/>
        <w:jc w:val="center"/>
        <w:tblLook w:val="04A0" w:firstRow="1" w:lastRow="0" w:firstColumn="1" w:lastColumn="0" w:noHBand="0" w:noVBand="1"/>
      </w:tblPr>
      <w:tblGrid>
        <w:gridCol w:w="1345"/>
        <w:gridCol w:w="1941"/>
        <w:gridCol w:w="56"/>
      </w:tblGrid>
      <w:tr w:rsidR="00BF2700" w:rsidRPr="00F47C30" w14:paraId="5FCFCBDE" w14:textId="77777777" w:rsidTr="002927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tcPr>
          <w:p w14:paraId="033B4539" w14:textId="77777777" w:rsidR="00BF2700" w:rsidRPr="00B0173A" w:rsidRDefault="00BF2700" w:rsidP="002927C9">
            <w:pPr>
              <w:spacing w:after="0"/>
              <w:rPr>
                <w:sz w:val="18"/>
                <w:szCs w:val="18"/>
              </w:rPr>
            </w:pPr>
            <w:r w:rsidRPr="00B0173A">
              <w:rPr>
                <w:color w:val="auto"/>
                <w:sz w:val="18"/>
                <w:szCs w:val="18"/>
              </w:rPr>
              <w:t>Query Complexity</w:t>
            </w:r>
          </w:p>
        </w:tc>
        <w:tc>
          <w:tcPr>
            <w:tcW w:w="1997" w:type="dxa"/>
            <w:gridSpan w:val="2"/>
          </w:tcPr>
          <w:p w14:paraId="13DB516F" w14:textId="77777777" w:rsidR="00BF2700" w:rsidRPr="00B0173A" w:rsidRDefault="00BF2700" w:rsidP="002927C9">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B0173A">
              <w:rPr>
                <w:color w:val="auto"/>
                <w:sz w:val="18"/>
                <w:szCs w:val="18"/>
              </w:rPr>
              <w:t xml:space="preserve">Per-core </w:t>
            </w:r>
            <w:r>
              <w:rPr>
                <w:sz w:val="18"/>
                <w:szCs w:val="18"/>
              </w:rPr>
              <w:t xml:space="preserve">BCR </w:t>
            </w:r>
            <w:r>
              <w:rPr>
                <w:sz w:val="18"/>
                <w:szCs w:val="18"/>
              </w:rPr>
              <w:br/>
              <w:t>(</w:t>
            </w:r>
            <w:r w:rsidRPr="00B0173A">
              <w:rPr>
                <w:i/>
                <w:color w:val="auto"/>
                <w:sz w:val="18"/>
                <w:szCs w:val="18"/>
              </w:rPr>
              <w:t>Page Compressed</w:t>
            </w:r>
            <w:r w:rsidRPr="00B0173A">
              <w:rPr>
                <w:color w:val="auto"/>
                <w:sz w:val="18"/>
                <w:szCs w:val="18"/>
              </w:rPr>
              <w:t xml:space="preserve"> </w:t>
            </w:r>
            <w:r>
              <w:rPr>
                <w:sz w:val="18"/>
                <w:szCs w:val="18"/>
              </w:rPr>
              <w:t xml:space="preserve">) </w:t>
            </w:r>
            <w:r>
              <w:rPr>
                <w:color w:val="auto"/>
                <w:sz w:val="18"/>
                <w:szCs w:val="18"/>
              </w:rPr>
              <w:t>at MAXDOP 4</w:t>
            </w:r>
          </w:p>
        </w:tc>
      </w:tr>
      <w:tr w:rsidR="00BF2700" w:rsidRPr="00F47C30" w14:paraId="7DE61692" w14:textId="77777777" w:rsidTr="002927C9">
        <w:trPr>
          <w:gridAfter w:val="1"/>
          <w:cnfStyle w:val="000000100000" w:firstRow="0" w:lastRow="0" w:firstColumn="0" w:lastColumn="0" w:oddVBand="0" w:evenVBand="0" w:oddHBand="1" w:evenHBand="0" w:firstRowFirstColumn="0" w:firstRowLastColumn="0" w:lastRowFirstColumn="0" w:lastRowLastColumn="0"/>
          <w:wAfter w:w="56" w:type="dxa"/>
          <w:jc w:val="center"/>
        </w:trPr>
        <w:tc>
          <w:tcPr>
            <w:cnfStyle w:val="001000000000" w:firstRow="0" w:lastRow="0" w:firstColumn="1" w:lastColumn="0" w:oddVBand="0" w:evenVBand="0" w:oddHBand="0" w:evenHBand="0" w:firstRowFirstColumn="0" w:firstRowLastColumn="0" w:lastRowFirstColumn="0" w:lastRowLastColumn="0"/>
            <w:tcW w:w="1345" w:type="dxa"/>
          </w:tcPr>
          <w:p w14:paraId="41CCEB80" w14:textId="77777777" w:rsidR="00BF2700" w:rsidRPr="00B0173A" w:rsidRDefault="00BF2700" w:rsidP="002927C9">
            <w:pPr>
              <w:spacing w:after="0"/>
              <w:rPr>
                <w:sz w:val="18"/>
                <w:szCs w:val="18"/>
              </w:rPr>
            </w:pPr>
            <w:r w:rsidRPr="00B0173A">
              <w:rPr>
                <w:color w:val="auto"/>
                <w:sz w:val="18"/>
                <w:szCs w:val="18"/>
              </w:rPr>
              <w:t>Simple</w:t>
            </w:r>
          </w:p>
        </w:tc>
        <w:tc>
          <w:tcPr>
            <w:tcW w:w="1941" w:type="dxa"/>
            <w:tcMar>
              <w:right w:w="567" w:type="dxa"/>
            </w:tcMar>
          </w:tcPr>
          <w:p w14:paraId="6D735DE5" w14:textId="77777777" w:rsidR="00BF2700" w:rsidRPr="00B0173A" w:rsidRDefault="00BF2700" w:rsidP="002927C9">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B0173A">
              <w:rPr>
                <w:color w:val="auto"/>
                <w:sz w:val="18"/>
                <w:szCs w:val="18"/>
              </w:rPr>
              <w:t>201 MB/s</w:t>
            </w:r>
          </w:p>
        </w:tc>
      </w:tr>
      <w:tr w:rsidR="00BF2700" w:rsidRPr="00F47C30" w14:paraId="65588D2D" w14:textId="77777777" w:rsidTr="002927C9">
        <w:trPr>
          <w:gridAfter w:val="1"/>
          <w:wAfter w:w="56" w:type="dxa"/>
          <w:jc w:val="center"/>
        </w:trPr>
        <w:tc>
          <w:tcPr>
            <w:cnfStyle w:val="001000000000" w:firstRow="0" w:lastRow="0" w:firstColumn="1" w:lastColumn="0" w:oddVBand="0" w:evenVBand="0" w:oddHBand="0" w:evenHBand="0" w:firstRowFirstColumn="0" w:firstRowLastColumn="0" w:lastRowFirstColumn="0" w:lastRowLastColumn="0"/>
            <w:tcW w:w="1345" w:type="dxa"/>
          </w:tcPr>
          <w:p w14:paraId="7EFCCCF5" w14:textId="77777777" w:rsidR="00BF2700" w:rsidRPr="00B0173A" w:rsidRDefault="00BF2700" w:rsidP="002927C9">
            <w:pPr>
              <w:spacing w:after="0"/>
              <w:rPr>
                <w:sz w:val="18"/>
                <w:szCs w:val="18"/>
              </w:rPr>
            </w:pPr>
            <w:r w:rsidRPr="00B0173A">
              <w:rPr>
                <w:color w:val="auto"/>
                <w:sz w:val="18"/>
                <w:szCs w:val="18"/>
              </w:rPr>
              <w:t>Average</w:t>
            </w:r>
          </w:p>
        </w:tc>
        <w:tc>
          <w:tcPr>
            <w:tcW w:w="1941" w:type="dxa"/>
            <w:tcMar>
              <w:right w:w="567" w:type="dxa"/>
            </w:tcMar>
          </w:tcPr>
          <w:p w14:paraId="434FBED3" w14:textId="77777777" w:rsidR="00BF2700" w:rsidRPr="00B0173A" w:rsidRDefault="00BF2700" w:rsidP="002927C9">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B0173A">
              <w:rPr>
                <w:color w:val="auto"/>
                <w:sz w:val="18"/>
                <w:szCs w:val="18"/>
              </w:rPr>
              <w:t>83 MB/s</w:t>
            </w:r>
          </w:p>
        </w:tc>
      </w:tr>
      <w:tr w:rsidR="00BF2700" w:rsidRPr="00F47C30" w14:paraId="24018BCE" w14:textId="77777777" w:rsidTr="002927C9">
        <w:trPr>
          <w:gridAfter w:val="1"/>
          <w:cnfStyle w:val="000000100000" w:firstRow="0" w:lastRow="0" w:firstColumn="0" w:lastColumn="0" w:oddVBand="0" w:evenVBand="0" w:oddHBand="1" w:evenHBand="0" w:firstRowFirstColumn="0" w:firstRowLastColumn="0" w:lastRowFirstColumn="0" w:lastRowLastColumn="0"/>
          <w:wAfter w:w="56" w:type="dxa"/>
          <w:jc w:val="center"/>
        </w:trPr>
        <w:tc>
          <w:tcPr>
            <w:cnfStyle w:val="001000000000" w:firstRow="0" w:lastRow="0" w:firstColumn="1" w:lastColumn="0" w:oddVBand="0" w:evenVBand="0" w:oddHBand="0" w:evenHBand="0" w:firstRowFirstColumn="0" w:firstRowLastColumn="0" w:lastRowFirstColumn="0" w:lastRowLastColumn="0"/>
            <w:tcW w:w="1345" w:type="dxa"/>
          </w:tcPr>
          <w:p w14:paraId="112CE01A" w14:textId="77777777" w:rsidR="00BF2700" w:rsidRPr="00B0173A" w:rsidRDefault="00BF2700" w:rsidP="002927C9">
            <w:pPr>
              <w:spacing w:after="0"/>
              <w:rPr>
                <w:sz w:val="18"/>
                <w:szCs w:val="18"/>
              </w:rPr>
            </w:pPr>
            <w:r w:rsidRPr="00B0173A">
              <w:rPr>
                <w:color w:val="auto"/>
                <w:sz w:val="18"/>
                <w:szCs w:val="18"/>
              </w:rPr>
              <w:t>Complex</w:t>
            </w:r>
          </w:p>
        </w:tc>
        <w:tc>
          <w:tcPr>
            <w:tcW w:w="1941" w:type="dxa"/>
            <w:tcMar>
              <w:right w:w="567" w:type="dxa"/>
            </w:tcMar>
          </w:tcPr>
          <w:p w14:paraId="019DF661" w14:textId="77777777" w:rsidR="00BF2700" w:rsidRPr="00B0173A" w:rsidRDefault="00BF2700" w:rsidP="002927C9">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B0173A">
              <w:rPr>
                <w:color w:val="auto"/>
                <w:sz w:val="18"/>
                <w:szCs w:val="18"/>
              </w:rPr>
              <w:t>56 MB/s</w:t>
            </w:r>
          </w:p>
        </w:tc>
      </w:tr>
    </w:tbl>
    <w:p w14:paraId="6A5D29E3" w14:textId="77777777" w:rsidR="00BF2700" w:rsidRDefault="00BF2700" w:rsidP="00BF2700"/>
    <w:p w14:paraId="131CDCD2" w14:textId="77777777" w:rsidR="00BF2700" w:rsidRPr="00B0173A" w:rsidRDefault="00BF2700" w:rsidP="00BF2700">
      <w:pPr>
        <w:rPr>
          <w:b/>
        </w:rPr>
      </w:pPr>
      <w:r w:rsidRPr="00B0173A">
        <w:rPr>
          <w:b/>
        </w:rPr>
        <w:t>Simple</w:t>
      </w:r>
    </w:p>
    <w:p w14:paraId="55501CEF" w14:textId="77777777" w:rsidR="00BF2700" w:rsidRDefault="00BF2700" w:rsidP="00BF2700">
      <w:pPr>
        <w:spacing w:after="0"/>
        <w:rPr>
          <w:rFonts w:ascii="Courier New" w:hAnsi="Courier New" w:cs="Courier New"/>
          <w:sz w:val="20"/>
          <w:szCs w:val="20"/>
        </w:rPr>
      </w:pPr>
      <w:r>
        <w:rPr>
          <w:rFonts w:ascii="Courier New" w:hAnsi="Courier New" w:cs="Courier New"/>
          <w:sz w:val="20"/>
          <w:szCs w:val="20"/>
        </w:rPr>
        <w:t>SELECT</w:t>
      </w:r>
      <w:r w:rsidRPr="00B0173A">
        <w:rPr>
          <w:rFonts w:ascii="Courier New" w:hAnsi="Courier New" w:cs="Courier New"/>
          <w:sz w:val="20"/>
          <w:szCs w:val="20"/>
        </w:rPr>
        <w:tab/>
      </w:r>
    </w:p>
    <w:p w14:paraId="7D72E2F3"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    </w:t>
      </w:r>
      <w:r w:rsidRPr="00B0173A">
        <w:rPr>
          <w:rFonts w:ascii="Courier New" w:hAnsi="Courier New" w:cs="Courier New"/>
          <w:sz w:val="20"/>
          <w:szCs w:val="20"/>
        </w:rPr>
        <w:t>sum(l_extendedprice * l_discount</w:t>
      </w:r>
      <w:r w:rsidRPr="006408D0">
        <w:rPr>
          <w:rFonts w:ascii="Courier New" w:hAnsi="Courier New" w:cs="Courier New"/>
          <w:sz w:val="20"/>
          <w:szCs w:val="20"/>
        </w:rPr>
        <w:t>)</w:t>
      </w:r>
      <w:r>
        <w:rPr>
          <w:rFonts w:ascii="Courier New" w:hAnsi="Courier New" w:cs="Courier New"/>
          <w:sz w:val="20"/>
          <w:szCs w:val="20"/>
        </w:rPr>
        <w:t xml:space="preserve"> </w:t>
      </w:r>
      <w:r w:rsidRPr="00B0173A">
        <w:rPr>
          <w:rFonts w:ascii="Courier New" w:hAnsi="Courier New" w:cs="Courier New"/>
          <w:sz w:val="20"/>
          <w:szCs w:val="20"/>
        </w:rPr>
        <w:t>as revenue</w:t>
      </w:r>
    </w:p>
    <w:p w14:paraId="3B797439" w14:textId="77777777" w:rsidR="00BF2700" w:rsidRDefault="00BF2700" w:rsidP="00BF2700">
      <w:pPr>
        <w:spacing w:after="0"/>
        <w:rPr>
          <w:rFonts w:ascii="Courier New" w:hAnsi="Courier New" w:cs="Courier New"/>
          <w:sz w:val="20"/>
          <w:szCs w:val="20"/>
        </w:rPr>
      </w:pPr>
      <w:r>
        <w:rPr>
          <w:rFonts w:ascii="Courier New" w:hAnsi="Courier New" w:cs="Courier New"/>
          <w:sz w:val="20"/>
          <w:szCs w:val="20"/>
        </w:rPr>
        <w:t>FROM</w:t>
      </w:r>
      <w:r w:rsidRPr="00B0173A">
        <w:rPr>
          <w:rFonts w:ascii="Courier New" w:hAnsi="Courier New" w:cs="Courier New"/>
          <w:sz w:val="20"/>
          <w:szCs w:val="20"/>
        </w:rPr>
        <w:t xml:space="preserve"> </w:t>
      </w:r>
      <w:r w:rsidRPr="00B0173A">
        <w:rPr>
          <w:rFonts w:ascii="Courier New" w:hAnsi="Courier New" w:cs="Courier New"/>
          <w:sz w:val="20"/>
          <w:szCs w:val="20"/>
        </w:rPr>
        <w:tab/>
      </w:r>
      <w:r>
        <w:rPr>
          <w:rFonts w:ascii="Courier New" w:hAnsi="Courier New" w:cs="Courier New"/>
          <w:sz w:val="20"/>
          <w:szCs w:val="20"/>
        </w:rPr>
        <w:tab/>
      </w:r>
    </w:p>
    <w:p w14:paraId="3D6C7092"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    </w:t>
      </w:r>
      <w:r w:rsidRPr="00B0173A">
        <w:rPr>
          <w:rFonts w:ascii="Courier New" w:hAnsi="Courier New" w:cs="Courier New"/>
          <w:sz w:val="20"/>
          <w:szCs w:val="20"/>
        </w:rPr>
        <w:t>lineitem</w:t>
      </w:r>
    </w:p>
    <w:p w14:paraId="04275DEB" w14:textId="77777777" w:rsidR="00BF2700" w:rsidRDefault="00BF2700" w:rsidP="00BF2700">
      <w:pPr>
        <w:spacing w:after="0"/>
        <w:rPr>
          <w:rFonts w:ascii="Courier New" w:hAnsi="Courier New" w:cs="Courier New"/>
          <w:sz w:val="20"/>
          <w:szCs w:val="20"/>
        </w:rPr>
      </w:pPr>
      <w:r>
        <w:rPr>
          <w:rFonts w:ascii="Courier New" w:hAnsi="Courier New" w:cs="Courier New"/>
          <w:sz w:val="20"/>
          <w:szCs w:val="20"/>
        </w:rPr>
        <w:t>WHERE</w:t>
      </w:r>
      <w:r w:rsidRPr="00B0173A">
        <w:rPr>
          <w:rFonts w:ascii="Courier New" w:hAnsi="Courier New" w:cs="Courier New"/>
          <w:sz w:val="20"/>
          <w:szCs w:val="20"/>
        </w:rPr>
        <w:t xml:space="preserve"> </w:t>
      </w:r>
    </w:p>
    <w:p w14:paraId="754AC1C8"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    </w:t>
      </w:r>
      <w:r w:rsidRPr="00B0173A">
        <w:rPr>
          <w:rFonts w:ascii="Courier New" w:hAnsi="Courier New" w:cs="Courier New"/>
          <w:sz w:val="20"/>
          <w:szCs w:val="20"/>
        </w:rPr>
        <w:t>l_discount between 0.04 - 0.01 and 0.04 + 0.01 and</w:t>
      </w:r>
    </w:p>
    <w:p w14:paraId="4FF90573"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    </w:t>
      </w:r>
      <w:r w:rsidRPr="00B0173A">
        <w:rPr>
          <w:rFonts w:ascii="Courier New" w:hAnsi="Courier New" w:cs="Courier New"/>
          <w:sz w:val="20"/>
          <w:szCs w:val="20"/>
        </w:rPr>
        <w:t>l_quantity &lt; 25</w:t>
      </w:r>
    </w:p>
    <w:p w14:paraId="1F52E6EB" w14:textId="539CDD12"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OPTION </w:t>
      </w:r>
      <w:r w:rsidR="00523E9D">
        <w:rPr>
          <w:rFonts w:ascii="Courier New" w:hAnsi="Courier New" w:cs="Courier New"/>
          <w:sz w:val="20"/>
          <w:szCs w:val="20"/>
        </w:rPr>
        <w:t>(maxdop 4</w:t>
      </w:r>
      <w:r w:rsidRPr="00B0173A">
        <w:rPr>
          <w:rFonts w:ascii="Courier New" w:hAnsi="Courier New" w:cs="Courier New"/>
          <w:sz w:val="20"/>
          <w:szCs w:val="20"/>
        </w:rPr>
        <w:t>)</w:t>
      </w:r>
    </w:p>
    <w:p w14:paraId="4A718C8D" w14:textId="77777777" w:rsidR="00BF2700" w:rsidRDefault="00BF2700" w:rsidP="00BF2700"/>
    <w:p w14:paraId="0129EC7F" w14:textId="77777777" w:rsidR="00BF2700" w:rsidRPr="00B0173A" w:rsidRDefault="00BF2700" w:rsidP="00BF2700">
      <w:pPr>
        <w:rPr>
          <w:b/>
        </w:rPr>
      </w:pPr>
      <w:r w:rsidRPr="00B0173A">
        <w:rPr>
          <w:b/>
        </w:rPr>
        <w:t>Average</w:t>
      </w:r>
    </w:p>
    <w:p w14:paraId="40626D7F"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SELECT</w:t>
      </w:r>
    </w:p>
    <w:p w14:paraId="1B0F852B"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 </w:t>
      </w:r>
      <w:r w:rsidRPr="00B0173A">
        <w:rPr>
          <w:rFonts w:ascii="Courier New" w:hAnsi="Courier New" w:cs="Courier New"/>
          <w:sz w:val="20"/>
          <w:szCs w:val="20"/>
        </w:rPr>
        <w:t xml:space="preserve">   l_returnflag,</w:t>
      </w:r>
    </w:p>
    <w:p w14:paraId="3D74945E"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l_linestatus,</w:t>
      </w:r>
    </w:p>
    <w:p w14:paraId="3C6CBA8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sum(l_quantity) as sum_qty,</w:t>
      </w:r>
    </w:p>
    <w:p w14:paraId="323BD755"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sum(l_extendedprice) as sum_base_price,</w:t>
      </w:r>
    </w:p>
    <w:p w14:paraId="3CC0A40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sum(l_extendedprice*(1-l_discount)) as sum_disc_price,</w:t>
      </w:r>
    </w:p>
    <w:p w14:paraId="4560A92F"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sum(l_extendedprice*(1-l_discount)*(1+l_tax)) as sum_charge,</w:t>
      </w:r>
    </w:p>
    <w:p w14:paraId="28473C5A"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avg(l_quantity) as avg_qty,</w:t>
      </w:r>
    </w:p>
    <w:p w14:paraId="4FE31F16"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avg(l_extendedprice) as avg_price,</w:t>
      </w:r>
    </w:p>
    <w:p w14:paraId="572C7964"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avg(l_discount) as avg_disc,</w:t>
      </w:r>
    </w:p>
    <w:p w14:paraId="6039C878"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count_big(*) as count_order</w:t>
      </w:r>
    </w:p>
    <w:p w14:paraId="23CC86F3"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FROM</w:t>
      </w:r>
    </w:p>
    <w:p w14:paraId="7861EC9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w:t>
      </w:r>
      <w:r w:rsidRPr="00C55CF9">
        <w:rPr>
          <w:rFonts w:ascii="Courier New" w:hAnsi="Courier New" w:cs="Courier New"/>
          <w:sz w:val="20"/>
          <w:szCs w:val="20"/>
        </w:rPr>
        <w:t>lineitem</w:t>
      </w:r>
    </w:p>
    <w:p w14:paraId="5FBD8424"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WHERE</w:t>
      </w:r>
    </w:p>
    <w:p w14:paraId="04833086"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l_shipdate &lt;= dateadd(dd, -90, '1998-12-01')</w:t>
      </w:r>
    </w:p>
    <w:p w14:paraId="37E9372F"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GROUP BY</w:t>
      </w:r>
    </w:p>
    <w:p w14:paraId="08F6C9E3"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l_returnflag,</w:t>
      </w:r>
    </w:p>
    <w:p w14:paraId="7EABCBB3"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l_linestatus</w:t>
      </w:r>
    </w:p>
    <w:p w14:paraId="1FB281BF"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ORDER BY</w:t>
      </w:r>
    </w:p>
    <w:p w14:paraId="1E284FA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l_returnflag,</w:t>
      </w:r>
    </w:p>
    <w:p w14:paraId="0B83CC20"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l_linestatus</w:t>
      </w:r>
    </w:p>
    <w:p w14:paraId="5A3AAC09" w14:textId="2058139D" w:rsidR="00BF2700" w:rsidRPr="002B29EF" w:rsidRDefault="00BF2700" w:rsidP="00BF2700">
      <w:pPr>
        <w:spacing w:after="0"/>
        <w:rPr>
          <w:rFonts w:ascii="Courier New" w:hAnsi="Courier New" w:cs="Courier New"/>
          <w:sz w:val="20"/>
          <w:szCs w:val="20"/>
        </w:rPr>
      </w:pPr>
      <w:r>
        <w:rPr>
          <w:rFonts w:ascii="Courier New" w:hAnsi="Courier New" w:cs="Courier New"/>
          <w:sz w:val="20"/>
          <w:szCs w:val="20"/>
        </w:rPr>
        <w:t xml:space="preserve">OPTION </w:t>
      </w:r>
      <w:r w:rsidR="00523E9D">
        <w:rPr>
          <w:rFonts w:ascii="Courier New" w:hAnsi="Courier New" w:cs="Courier New"/>
          <w:sz w:val="20"/>
          <w:szCs w:val="20"/>
        </w:rPr>
        <w:t>(maxdop 4</w:t>
      </w:r>
      <w:r w:rsidRPr="002B29EF">
        <w:rPr>
          <w:rFonts w:ascii="Courier New" w:hAnsi="Courier New" w:cs="Courier New"/>
          <w:sz w:val="20"/>
          <w:szCs w:val="20"/>
        </w:rPr>
        <w:t>)</w:t>
      </w:r>
    </w:p>
    <w:p w14:paraId="17E6A8E4" w14:textId="77777777" w:rsidR="00BF2700" w:rsidRDefault="00BF2700" w:rsidP="00BF2700"/>
    <w:p w14:paraId="06EA0195" w14:textId="77777777" w:rsidR="00BF2700" w:rsidRPr="00B0173A" w:rsidRDefault="00BF2700" w:rsidP="00BF2700">
      <w:pPr>
        <w:rPr>
          <w:b/>
        </w:rPr>
      </w:pPr>
      <w:r w:rsidRPr="00B0173A">
        <w:rPr>
          <w:b/>
        </w:rPr>
        <w:t>Complex</w:t>
      </w:r>
    </w:p>
    <w:p w14:paraId="5A4B60EF"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lastRenderedPageBreak/>
        <w:t>SELECT</w:t>
      </w:r>
    </w:p>
    <w:p w14:paraId="18D2865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100.00 * sum(case</w:t>
      </w:r>
    </w:p>
    <w:p w14:paraId="5F77B4EE"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when p_type like 'PROMO%'</w:t>
      </w:r>
    </w:p>
    <w:p w14:paraId="0E64F0B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then l_extendedprice*(1-l_discount)</w:t>
      </w:r>
    </w:p>
    <w:p w14:paraId="51729529"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else 0</w:t>
      </w:r>
    </w:p>
    <w:p w14:paraId="33D11E16" w14:textId="77777777" w:rsidR="00BF2700" w:rsidRDefault="00BF2700" w:rsidP="00BF2700">
      <w:pPr>
        <w:spacing w:after="0"/>
        <w:ind w:left="720"/>
        <w:rPr>
          <w:rFonts w:ascii="Courier New" w:hAnsi="Courier New" w:cs="Courier New"/>
          <w:sz w:val="20"/>
          <w:szCs w:val="20"/>
        </w:rPr>
      </w:pPr>
      <w:r w:rsidRPr="00B0173A">
        <w:rPr>
          <w:rFonts w:ascii="Courier New" w:hAnsi="Courier New" w:cs="Courier New"/>
          <w:sz w:val="20"/>
          <w:szCs w:val="20"/>
        </w:rPr>
        <w:t xml:space="preserve">       </w:t>
      </w:r>
      <w:r>
        <w:rPr>
          <w:rFonts w:ascii="Courier New" w:hAnsi="Courier New" w:cs="Courier New"/>
          <w:sz w:val="20"/>
          <w:szCs w:val="20"/>
        </w:rPr>
        <w:t xml:space="preserve">    </w:t>
      </w:r>
      <w:r w:rsidRPr="00B0173A">
        <w:rPr>
          <w:rFonts w:ascii="Courier New" w:hAnsi="Courier New" w:cs="Courier New"/>
          <w:sz w:val="20"/>
          <w:szCs w:val="20"/>
        </w:rPr>
        <w:t>end) / sum(l_exten</w:t>
      </w:r>
      <w:r w:rsidRPr="00D53543">
        <w:rPr>
          <w:rFonts w:ascii="Courier New" w:hAnsi="Courier New" w:cs="Courier New"/>
          <w:sz w:val="20"/>
          <w:szCs w:val="20"/>
        </w:rPr>
        <w:t>dedprice * (1 - l_discount)) as</w:t>
      </w:r>
    </w:p>
    <w:p w14:paraId="787C03D0"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 xml:space="preserve">    </w:t>
      </w:r>
      <w:r w:rsidRPr="00B0173A">
        <w:rPr>
          <w:rFonts w:ascii="Courier New" w:hAnsi="Courier New" w:cs="Courier New"/>
          <w:sz w:val="20"/>
          <w:szCs w:val="20"/>
        </w:rPr>
        <w:t>promo_revenue</w:t>
      </w:r>
    </w:p>
    <w:p w14:paraId="48AB29E3"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FROM</w:t>
      </w:r>
    </w:p>
    <w:p w14:paraId="6972D5E2"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lineitem,</w:t>
      </w:r>
    </w:p>
    <w:p w14:paraId="758438EF"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part</w:t>
      </w:r>
    </w:p>
    <w:p w14:paraId="6C891000" w14:textId="77777777" w:rsidR="00BF2700" w:rsidRPr="00B0173A" w:rsidRDefault="00BF2700" w:rsidP="00BF2700">
      <w:pPr>
        <w:spacing w:after="0"/>
        <w:rPr>
          <w:rFonts w:ascii="Courier New" w:hAnsi="Courier New" w:cs="Courier New"/>
          <w:sz w:val="20"/>
          <w:szCs w:val="20"/>
        </w:rPr>
      </w:pPr>
      <w:r>
        <w:rPr>
          <w:rFonts w:ascii="Courier New" w:hAnsi="Courier New" w:cs="Courier New"/>
          <w:sz w:val="20"/>
          <w:szCs w:val="20"/>
        </w:rPr>
        <w:t>WHERE</w:t>
      </w:r>
    </w:p>
    <w:p w14:paraId="6137AE7C"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l_partkey = p_partkey</w:t>
      </w:r>
    </w:p>
    <w:p w14:paraId="302DA6D6"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and l_shipdate &gt;= '1995-09-01'</w:t>
      </w:r>
    </w:p>
    <w:p w14:paraId="626626C6" w14:textId="77777777" w:rsidR="00BF2700" w:rsidRPr="00B0173A" w:rsidRDefault="00BF2700" w:rsidP="00BF2700">
      <w:pPr>
        <w:spacing w:after="0"/>
        <w:rPr>
          <w:rFonts w:ascii="Courier New" w:hAnsi="Courier New" w:cs="Courier New"/>
          <w:sz w:val="20"/>
          <w:szCs w:val="20"/>
        </w:rPr>
      </w:pPr>
      <w:r w:rsidRPr="00B0173A">
        <w:rPr>
          <w:rFonts w:ascii="Courier New" w:hAnsi="Courier New" w:cs="Courier New"/>
          <w:sz w:val="20"/>
          <w:szCs w:val="20"/>
        </w:rPr>
        <w:t xml:space="preserve">    and l_shipdate &lt; dateadd(mm, 1, '1995-09-01')</w:t>
      </w:r>
    </w:p>
    <w:p w14:paraId="03EA5B44" w14:textId="7CD92196" w:rsidR="00BF2700" w:rsidRPr="002B29EF" w:rsidRDefault="00BF2700" w:rsidP="00BF2700">
      <w:pPr>
        <w:spacing w:after="0"/>
        <w:rPr>
          <w:rFonts w:ascii="Courier New" w:hAnsi="Courier New" w:cs="Courier New"/>
          <w:sz w:val="20"/>
          <w:szCs w:val="20"/>
        </w:rPr>
      </w:pPr>
      <w:r>
        <w:rPr>
          <w:rFonts w:ascii="Courier New" w:hAnsi="Courier New" w:cs="Courier New"/>
          <w:sz w:val="20"/>
          <w:szCs w:val="20"/>
        </w:rPr>
        <w:t xml:space="preserve">OPTION </w:t>
      </w:r>
      <w:r w:rsidR="00523E9D">
        <w:rPr>
          <w:rFonts w:ascii="Courier New" w:hAnsi="Courier New" w:cs="Courier New"/>
          <w:sz w:val="20"/>
          <w:szCs w:val="20"/>
        </w:rPr>
        <w:t>(maxdop 4</w:t>
      </w:r>
      <w:r w:rsidRPr="002B29EF">
        <w:rPr>
          <w:rFonts w:ascii="Courier New" w:hAnsi="Courier New" w:cs="Courier New"/>
          <w:sz w:val="20"/>
          <w:szCs w:val="20"/>
        </w:rPr>
        <w:t>)</w:t>
      </w:r>
    </w:p>
    <w:p w14:paraId="50BBF14E" w14:textId="77777777" w:rsidR="00BF2700" w:rsidRPr="00B0173A" w:rsidRDefault="00BF2700" w:rsidP="00BF2700">
      <w:pPr>
        <w:spacing w:after="0"/>
        <w:rPr>
          <w:rFonts w:ascii="Courier New" w:hAnsi="Courier New" w:cs="Courier New"/>
          <w:sz w:val="20"/>
          <w:szCs w:val="20"/>
        </w:rPr>
      </w:pPr>
    </w:p>
    <w:p w14:paraId="5525209D" w14:textId="77777777" w:rsidR="00BF2700" w:rsidRDefault="00BF2700" w:rsidP="00BF2700">
      <w:pPr>
        <w:rPr>
          <w:highlight w:val="yellow"/>
        </w:rPr>
      </w:pPr>
    </w:p>
    <w:p w14:paraId="0C611ABA" w14:textId="77777777" w:rsidR="00BF2700" w:rsidRDefault="00BF2700" w:rsidP="00BF2700">
      <w:pPr>
        <w:pStyle w:val="Heading3"/>
      </w:pPr>
      <w:r>
        <w:t>Factors Affecting Query Consumption Rate</w:t>
      </w:r>
    </w:p>
    <w:p w14:paraId="044B166F" w14:textId="77777777" w:rsidR="00BF2700" w:rsidRDefault="00BF2700" w:rsidP="00BF2700">
      <w:r>
        <w:t>Not all queries will achieve the Maximum CPU Consumption Rate (MCR) or Benchmark Consumption Rate (BCR). There are many factors that can affect the consumption rate for a query. Queries simpler than the workload used to generate the consumption rate will have higher consumption rates, and more complex workloads will have lower consumption rates. Many factors that can affect this complexity and the consumption rate, for example:</w:t>
      </w:r>
    </w:p>
    <w:p w14:paraId="4FA85107" w14:textId="77777777" w:rsidR="00BF2700" w:rsidRDefault="00BF2700" w:rsidP="00BF2700">
      <w:pPr>
        <w:pStyle w:val="ListParagraph"/>
        <w:numPr>
          <w:ilvl w:val="0"/>
          <w:numId w:val="37"/>
        </w:numPr>
      </w:pPr>
      <w:r w:rsidRPr="00556F1C">
        <w:rPr>
          <w:b/>
        </w:rPr>
        <w:t>Query complexity:</w:t>
      </w:r>
      <w:r>
        <w:t xml:space="preserve"> The more CPU intensive the query is, for example, in terms of calculations and the number of aggregations, the lower the consumption rate.</w:t>
      </w:r>
    </w:p>
    <w:p w14:paraId="073955EF" w14:textId="77777777" w:rsidR="00BF2700" w:rsidRDefault="00BF2700" w:rsidP="00BF2700">
      <w:pPr>
        <w:pStyle w:val="ListParagraph"/>
        <w:numPr>
          <w:ilvl w:val="0"/>
          <w:numId w:val="37"/>
        </w:numPr>
      </w:pPr>
      <w:r w:rsidRPr="00556F1C">
        <w:rPr>
          <w:b/>
        </w:rPr>
        <w:t>Sort complexity:</w:t>
      </w:r>
      <w:r>
        <w:t xml:space="preserve"> Sorts from explicit order by operations or group by operations will generate more CPU workload and decrease consumption rate. Additional writes to </w:t>
      </w:r>
      <w:r w:rsidRPr="00556F1C">
        <w:rPr>
          <w:b/>
        </w:rPr>
        <w:t>tempdb</w:t>
      </w:r>
      <w:r>
        <w:t xml:space="preserve"> caused by such queries spilling to disk negatively affect consumption rate.</w:t>
      </w:r>
    </w:p>
    <w:p w14:paraId="3DA263E0" w14:textId="77777777" w:rsidR="00BF2700" w:rsidRDefault="00BF2700" w:rsidP="00BF2700">
      <w:pPr>
        <w:pStyle w:val="ListParagraph"/>
        <w:numPr>
          <w:ilvl w:val="0"/>
          <w:numId w:val="37"/>
        </w:numPr>
      </w:pPr>
      <w:r w:rsidRPr="00556F1C">
        <w:rPr>
          <w:b/>
        </w:rPr>
        <w:t>Query plan complexity:</w:t>
      </w:r>
      <w:r>
        <w:t xml:space="preserve"> The more complex a query plan, the more steps and operators, the lower the CPU consumption rate will be, because each unit of data is processed through a longer pipeline of operations.</w:t>
      </w:r>
    </w:p>
    <w:p w14:paraId="19DE6F1B" w14:textId="77777777" w:rsidR="00BF2700" w:rsidRDefault="00BF2700" w:rsidP="00BF2700">
      <w:pPr>
        <w:pStyle w:val="ListParagraph"/>
        <w:numPr>
          <w:ilvl w:val="0"/>
          <w:numId w:val="37"/>
        </w:numPr>
      </w:pPr>
      <w:r w:rsidRPr="00556F1C">
        <w:rPr>
          <w:b/>
        </w:rPr>
        <w:t>Compression:</w:t>
      </w:r>
      <w:r>
        <w:t xml:space="preserve"> Compression will decrease the consumption rate of data in real terms, because consumption rate by definition is measured for queries that are CPU bound, and decompression consumes CPU cycles. However, the increased throughput benefits usually outweigh additional CPU overhead involved in compression, unless the workload is highly CPU intensive. When comparing consumption rates for compressed and uncompressed data, take the compression factor into account. Another way of looking at this is to think of the consumption rate in terms of rows per second.</w:t>
      </w:r>
    </w:p>
    <w:p w14:paraId="0559136A" w14:textId="77777777" w:rsidR="00BF2700" w:rsidRDefault="00BF2700" w:rsidP="00BF2700">
      <w:pPr>
        <w:pStyle w:val="ListParagraph"/>
        <w:numPr>
          <w:ilvl w:val="0"/>
          <w:numId w:val="37"/>
        </w:numPr>
      </w:pPr>
      <w:r w:rsidRPr="00556F1C">
        <w:rPr>
          <w:b/>
        </w:rPr>
        <w:t>Data utili</w:t>
      </w:r>
      <w:r>
        <w:rPr>
          <w:b/>
        </w:rPr>
        <w:t>z</w:t>
      </w:r>
      <w:r w:rsidRPr="00556F1C">
        <w:rPr>
          <w:b/>
        </w:rPr>
        <w:t>ation:</w:t>
      </w:r>
      <w:r>
        <w:t xml:space="preserve"> Discarding data during scans (for example, through query projection and selection) is quite an efficient process. Queries that use all the data in a table have lower consumption rates, because more data is processed per unit data throughput.</w:t>
      </w:r>
    </w:p>
    <w:p w14:paraId="454A6A40" w14:textId="77777777" w:rsidR="00BF2700" w:rsidRPr="00AD7CA9" w:rsidRDefault="00BF2700" w:rsidP="00BF2700">
      <w:pPr>
        <w:spacing w:after="0" w:line="240" w:lineRule="auto"/>
      </w:pPr>
    </w:p>
    <w:p w14:paraId="52DB018D" w14:textId="77777777" w:rsidR="009D61BE" w:rsidRPr="005B7B1F" w:rsidRDefault="009D61BE" w:rsidP="00A47E01">
      <w:pPr>
        <w:rPr>
          <w:rFonts w:cs="Arial"/>
        </w:rPr>
      </w:pPr>
      <w:bookmarkStart w:id="29" w:name="_FTDW_Workload_Evaluation"/>
      <w:bookmarkStart w:id="30" w:name="_Hardware_Component_Architecture"/>
      <w:bookmarkStart w:id="31" w:name="_Server"/>
      <w:bookmarkStart w:id="32" w:name="_Application_Configuration"/>
      <w:bookmarkStart w:id="33" w:name="_Startup_Options"/>
      <w:bookmarkStart w:id="34" w:name="_Integrated_Storage_System"/>
      <w:bookmarkStart w:id="35" w:name="_Storage_System"/>
      <w:bookmarkStart w:id="36" w:name="_Extent_Fragmentation"/>
      <w:bookmarkStart w:id="37" w:name="_Loading_Data"/>
      <w:bookmarkStart w:id="38" w:name="_Benchmarking_&amp;_Validation"/>
      <w:bookmarkStart w:id="39" w:name="_Performing_Fast_Track"/>
      <w:bookmarkStart w:id="40" w:name="_What_is_MCR"/>
      <w:bookmarkStart w:id="41" w:name="_Fast_Track_DW"/>
      <w:bookmarkStart w:id="42" w:name="_FTRA_Workload_Calculator"/>
      <w:bookmarkStart w:id="43" w:name="_SSIS_Parallel_Bulk"/>
      <w:bookmarkStart w:id="44" w:name="_Workload_Testing"/>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sectPr w:rsidR="009D61BE" w:rsidRPr="005B7B1F" w:rsidSect="00B0173A">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276"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FEC76" w14:textId="77777777" w:rsidR="004148F0" w:rsidRDefault="004148F0" w:rsidP="00313894">
      <w:pPr>
        <w:spacing w:after="0" w:line="240" w:lineRule="auto"/>
      </w:pPr>
      <w:r>
        <w:separator/>
      </w:r>
    </w:p>
    <w:p w14:paraId="582F406F" w14:textId="77777777" w:rsidR="004148F0" w:rsidRDefault="004148F0"/>
    <w:p w14:paraId="27C7CCCD" w14:textId="77777777" w:rsidR="004148F0" w:rsidRDefault="004148F0"/>
    <w:p w14:paraId="37088C38" w14:textId="77777777" w:rsidR="004148F0" w:rsidRDefault="004148F0"/>
    <w:p w14:paraId="5DF81F93" w14:textId="77777777" w:rsidR="004148F0" w:rsidRDefault="004148F0"/>
    <w:p w14:paraId="12E04570" w14:textId="77777777" w:rsidR="004148F0" w:rsidRDefault="004148F0"/>
    <w:p w14:paraId="40D496E7" w14:textId="77777777" w:rsidR="004148F0" w:rsidRDefault="004148F0"/>
    <w:p w14:paraId="36AE051E" w14:textId="77777777" w:rsidR="004148F0" w:rsidRDefault="004148F0"/>
    <w:p w14:paraId="4D072AA3" w14:textId="77777777" w:rsidR="004148F0" w:rsidRDefault="004148F0"/>
    <w:p w14:paraId="26FB87C8" w14:textId="77777777" w:rsidR="004148F0" w:rsidRDefault="004148F0"/>
    <w:p w14:paraId="1A94D1F5" w14:textId="77777777" w:rsidR="004148F0" w:rsidRDefault="004148F0"/>
    <w:p w14:paraId="5A4776B9" w14:textId="77777777" w:rsidR="004148F0" w:rsidRDefault="004148F0"/>
    <w:p w14:paraId="02A2856E" w14:textId="77777777" w:rsidR="004148F0" w:rsidRDefault="004148F0"/>
    <w:p w14:paraId="2FE587DB" w14:textId="77777777" w:rsidR="004148F0" w:rsidRDefault="004148F0"/>
    <w:p w14:paraId="1399AD90" w14:textId="77777777" w:rsidR="004148F0" w:rsidRDefault="004148F0"/>
    <w:p w14:paraId="09A41EFE" w14:textId="77777777" w:rsidR="004148F0" w:rsidRDefault="004148F0"/>
    <w:p w14:paraId="7845BA28" w14:textId="77777777" w:rsidR="004148F0" w:rsidRDefault="004148F0"/>
  </w:endnote>
  <w:endnote w:type="continuationSeparator" w:id="0">
    <w:p w14:paraId="6F562AC0" w14:textId="77777777" w:rsidR="004148F0" w:rsidRDefault="004148F0" w:rsidP="00313894">
      <w:pPr>
        <w:spacing w:after="0" w:line="240" w:lineRule="auto"/>
      </w:pPr>
      <w:r>
        <w:continuationSeparator/>
      </w:r>
    </w:p>
    <w:p w14:paraId="57B308A0" w14:textId="77777777" w:rsidR="004148F0" w:rsidRDefault="004148F0"/>
    <w:p w14:paraId="0A5ECC27" w14:textId="77777777" w:rsidR="004148F0" w:rsidRDefault="004148F0"/>
    <w:p w14:paraId="71CAA877" w14:textId="77777777" w:rsidR="004148F0" w:rsidRDefault="004148F0"/>
    <w:p w14:paraId="06ADD532" w14:textId="77777777" w:rsidR="004148F0" w:rsidRDefault="004148F0"/>
    <w:p w14:paraId="55D88B4C" w14:textId="77777777" w:rsidR="004148F0" w:rsidRDefault="004148F0"/>
    <w:p w14:paraId="6F64BBEC" w14:textId="77777777" w:rsidR="004148F0" w:rsidRDefault="004148F0"/>
    <w:p w14:paraId="068A3A5C" w14:textId="77777777" w:rsidR="004148F0" w:rsidRDefault="004148F0"/>
    <w:p w14:paraId="7FED8501" w14:textId="77777777" w:rsidR="004148F0" w:rsidRDefault="004148F0"/>
    <w:p w14:paraId="5614704C" w14:textId="77777777" w:rsidR="004148F0" w:rsidRDefault="004148F0"/>
    <w:p w14:paraId="6924F40A" w14:textId="77777777" w:rsidR="004148F0" w:rsidRDefault="004148F0"/>
    <w:p w14:paraId="49B31B11" w14:textId="77777777" w:rsidR="004148F0" w:rsidRDefault="004148F0"/>
    <w:p w14:paraId="7722498B" w14:textId="77777777" w:rsidR="004148F0" w:rsidRDefault="004148F0"/>
    <w:p w14:paraId="796C48B0" w14:textId="77777777" w:rsidR="004148F0" w:rsidRDefault="004148F0"/>
    <w:p w14:paraId="4A2D770E" w14:textId="77777777" w:rsidR="004148F0" w:rsidRDefault="004148F0"/>
    <w:p w14:paraId="4D3D3C50" w14:textId="77777777" w:rsidR="004148F0" w:rsidRDefault="004148F0"/>
    <w:p w14:paraId="413F95F0" w14:textId="77777777" w:rsidR="004148F0" w:rsidRDefault="004148F0"/>
  </w:endnote>
  <w:endnote w:type="continuationNotice" w:id="1">
    <w:p w14:paraId="5B4B8A67" w14:textId="77777777" w:rsidR="00D33182" w:rsidRDefault="00D33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B9B41" w14:textId="77777777" w:rsidR="004148F0" w:rsidRDefault="004148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A2225" w14:textId="77777777" w:rsidR="004148F0" w:rsidRDefault="004148F0" w:rsidP="00B0173A">
    <w:pPr>
      <w:pStyle w:val="Footer"/>
      <w:ind w:left="7920"/>
      <w:rPr>
        <w:noProof/>
      </w:rPr>
    </w:pPr>
    <w:r>
      <w:t xml:space="preserve">Page </w:t>
    </w:r>
    <w:r>
      <w:fldChar w:fldCharType="begin"/>
    </w:r>
    <w:r>
      <w:instrText xml:space="preserve"> PAGE   \* MERGEFORMAT </w:instrText>
    </w:r>
    <w:r>
      <w:fldChar w:fldCharType="separate"/>
    </w:r>
    <w:r w:rsidR="00657256">
      <w:rPr>
        <w:noProof/>
      </w:rPr>
      <w:t>4</w:t>
    </w:r>
    <w:r>
      <w:rPr>
        <w:noProof/>
      </w:rPr>
      <w:fldChar w:fldCharType="end"/>
    </w:r>
  </w:p>
  <w:p w14:paraId="4E3CB949" w14:textId="77777777" w:rsidR="004148F0" w:rsidRDefault="004148F0" w:rsidP="00B0173A">
    <w:pPr>
      <w:pStyle w:val="Footer"/>
      <w:ind w:left="7920"/>
    </w:pPr>
  </w:p>
  <w:p w14:paraId="0A9D092E" w14:textId="77777777" w:rsidR="004148F0" w:rsidRDefault="004148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D0226" w14:textId="77777777" w:rsidR="004148F0" w:rsidRPr="00814162" w:rsidRDefault="004148F0" w:rsidP="00814162">
    <w:pPr>
      <w:pStyle w:val="Footer"/>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4D4E0" w14:textId="77777777" w:rsidR="004148F0" w:rsidRDefault="004148F0" w:rsidP="00313894">
      <w:pPr>
        <w:spacing w:after="0" w:line="240" w:lineRule="auto"/>
      </w:pPr>
      <w:r>
        <w:separator/>
      </w:r>
    </w:p>
    <w:p w14:paraId="6D677462" w14:textId="77777777" w:rsidR="004148F0" w:rsidRDefault="004148F0"/>
    <w:p w14:paraId="34E8B9BB" w14:textId="77777777" w:rsidR="004148F0" w:rsidRDefault="004148F0"/>
    <w:p w14:paraId="5F2A0496" w14:textId="77777777" w:rsidR="004148F0" w:rsidRDefault="004148F0"/>
    <w:p w14:paraId="69FEDD89" w14:textId="77777777" w:rsidR="004148F0" w:rsidRDefault="004148F0"/>
    <w:p w14:paraId="7185B1F3" w14:textId="77777777" w:rsidR="004148F0" w:rsidRDefault="004148F0"/>
    <w:p w14:paraId="3108A7AC" w14:textId="77777777" w:rsidR="004148F0" w:rsidRDefault="004148F0"/>
    <w:p w14:paraId="341536A5" w14:textId="77777777" w:rsidR="004148F0" w:rsidRDefault="004148F0"/>
    <w:p w14:paraId="2CDE2485" w14:textId="77777777" w:rsidR="004148F0" w:rsidRDefault="004148F0"/>
    <w:p w14:paraId="612BCE38" w14:textId="77777777" w:rsidR="004148F0" w:rsidRDefault="004148F0"/>
    <w:p w14:paraId="68931441" w14:textId="77777777" w:rsidR="004148F0" w:rsidRDefault="004148F0"/>
    <w:p w14:paraId="6D7D009D" w14:textId="77777777" w:rsidR="004148F0" w:rsidRDefault="004148F0"/>
    <w:p w14:paraId="6F8D82AA" w14:textId="77777777" w:rsidR="004148F0" w:rsidRDefault="004148F0"/>
    <w:p w14:paraId="22DAA8DF" w14:textId="77777777" w:rsidR="004148F0" w:rsidRDefault="004148F0"/>
    <w:p w14:paraId="398D4941" w14:textId="77777777" w:rsidR="004148F0" w:rsidRDefault="004148F0"/>
    <w:p w14:paraId="7C401F12" w14:textId="77777777" w:rsidR="004148F0" w:rsidRDefault="004148F0"/>
    <w:p w14:paraId="42F4FB49" w14:textId="77777777" w:rsidR="004148F0" w:rsidRDefault="004148F0"/>
  </w:footnote>
  <w:footnote w:type="continuationSeparator" w:id="0">
    <w:p w14:paraId="30B640D6" w14:textId="77777777" w:rsidR="004148F0" w:rsidRDefault="004148F0" w:rsidP="00313894">
      <w:pPr>
        <w:spacing w:after="0" w:line="240" w:lineRule="auto"/>
      </w:pPr>
      <w:r>
        <w:continuationSeparator/>
      </w:r>
    </w:p>
    <w:p w14:paraId="5AE21135" w14:textId="77777777" w:rsidR="004148F0" w:rsidRDefault="004148F0"/>
    <w:p w14:paraId="2DBAF253" w14:textId="77777777" w:rsidR="004148F0" w:rsidRDefault="004148F0"/>
    <w:p w14:paraId="77EF2C58" w14:textId="77777777" w:rsidR="004148F0" w:rsidRDefault="004148F0"/>
    <w:p w14:paraId="2D853623" w14:textId="77777777" w:rsidR="004148F0" w:rsidRDefault="004148F0"/>
    <w:p w14:paraId="6A7AB474" w14:textId="77777777" w:rsidR="004148F0" w:rsidRDefault="004148F0"/>
    <w:p w14:paraId="0069BAE2" w14:textId="77777777" w:rsidR="004148F0" w:rsidRDefault="004148F0"/>
    <w:p w14:paraId="7333236D" w14:textId="77777777" w:rsidR="004148F0" w:rsidRDefault="004148F0"/>
    <w:p w14:paraId="0BE2F6B3" w14:textId="77777777" w:rsidR="004148F0" w:rsidRDefault="004148F0"/>
    <w:p w14:paraId="1D1EFAAF" w14:textId="77777777" w:rsidR="004148F0" w:rsidRDefault="004148F0"/>
    <w:p w14:paraId="4883D441" w14:textId="77777777" w:rsidR="004148F0" w:rsidRDefault="004148F0"/>
    <w:p w14:paraId="0472A2CD" w14:textId="77777777" w:rsidR="004148F0" w:rsidRDefault="004148F0"/>
    <w:p w14:paraId="3CDC3624" w14:textId="77777777" w:rsidR="004148F0" w:rsidRDefault="004148F0"/>
    <w:p w14:paraId="6715C83C" w14:textId="77777777" w:rsidR="004148F0" w:rsidRDefault="004148F0"/>
    <w:p w14:paraId="49AF98BD" w14:textId="77777777" w:rsidR="004148F0" w:rsidRDefault="004148F0"/>
    <w:p w14:paraId="7083568F" w14:textId="77777777" w:rsidR="004148F0" w:rsidRDefault="004148F0"/>
    <w:p w14:paraId="799CAC39" w14:textId="77777777" w:rsidR="004148F0" w:rsidRDefault="004148F0"/>
  </w:footnote>
  <w:footnote w:type="continuationNotice" w:id="1">
    <w:p w14:paraId="30AB7B83" w14:textId="77777777" w:rsidR="00D33182" w:rsidRDefault="00D331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BC6C2" w14:textId="77777777" w:rsidR="004148F0" w:rsidRDefault="004148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AE19C" w14:textId="77777777" w:rsidR="004148F0" w:rsidRDefault="004148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C27C9" w14:textId="77777777" w:rsidR="004148F0" w:rsidRDefault="004148F0">
    <w:pPr>
      <w:pStyle w:val="Header"/>
    </w:pPr>
    <w:r>
      <w:tab/>
    </w:r>
    <w:r>
      <w:tab/>
    </w:r>
    <w:r>
      <w:rPr>
        <w:noProof/>
      </w:rPr>
      <w:drawing>
        <wp:inline distT="0" distB="0" distL="0" distR="0" wp14:anchorId="7EA400E0" wp14:editId="74C294CC">
          <wp:extent cx="1066800" cy="133350"/>
          <wp:effectExtent l="19050" t="0" r="0" b="0"/>
          <wp:docPr id="9"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66800" cy="1333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BDE"/>
    <w:multiLevelType w:val="hybridMultilevel"/>
    <w:tmpl w:val="8768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66431"/>
    <w:multiLevelType w:val="hybridMultilevel"/>
    <w:tmpl w:val="B8FE9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1C46A8"/>
    <w:multiLevelType w:val="hybridMultilevel"/>
    <w:tmpl w:val="AB428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51C40"/>
    <w:multiLevelType w:val="hybridMultilevel"/>
    <w:tmpl w:val="F104B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92F58"/>
    <w:multiLevelType w:val="hybridMultilevel"/>
    <w:tmpl w:val="E1BEC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75F45"/>
    <w:multiLevelType w:val="hybridMultilevel"/>
    <w:tmpl w:val="2466D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D28E6"/>
    <w:multiLevelType w:val="hybridMultilevel"/>
    <w:tmpl w:val="9074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95F17"/>
    <w:multiLevelType w:val="hybridMultilevel"/>
    <w:tmpl w:val="A05459DC"/>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BB784E"/>
    <w:multiLevelType w:val="hybridMultilevel"/>
    <w:tmpl w:val="17A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D2CB1"/>
    <w:multiLevelType w:val="hybridMultilevel"/>
    <w:tmpl w:val="59885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405AD"/>
    <w:multiLevelType w:val="hybridMultilevel"/>
    <w:tmpl w:val="B922F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D41D8"/>
    <w:multiLevelType w:val="hybridMultilevel"/>
    <w:tmpl w:val="6B066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640D82"/>
    <w:multiLevelType w:val="hybridMultilevel"/>
    <w:tmpl w:val="D34CB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30645"/>
    <w:multiLevelType w:val="hybridMultilevel"/>
    <w:tmpl w:val="5C4EB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FB2AA0"/>
    <w:multiLevelType w:val="hybridMultilevel"/>
    <w:tmpl w:val="FA1A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70811"/>
    <w:multiLevelType w:val="hybridMultilevel"/>
    <w:tmpl w:val="55C4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C81B48"/>
    <w:multiLevelType w:val="hybridMultilevel"/>
    <w:tmpl w:val="8D740D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10A68BE"/>
    <w:multiLevelType w:val="hybridMultilevel"/>
    <w:tmpl w:val="FBD6F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2D2924"/>
    <w:multiLevelType w:val="hybridMultilevel"/>
    <w:tmpl w:val="F62CC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D71861"/>
    <w:multiLevelType w:val="hybridMultilevel"/>
    <w:tmpl w:val="07FE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3E00FD"/>
    <w:multiLevelType w:val="hybridMultilevel"/>
    <w:tmpl w:val="28DC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093509"/>
    <w:multiLevelType w:val="hybridMultilevel"/>
    <w:tmpl w:val="8D0A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01597"/>
    <w:multiLevelType w:val="hybridMultilevel"/>
    <w:tmpl w:val="0AE08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4A0FD9"/>
    <w:multiLevelType w:val="hybridMultilevel"/>
    <w:tmpl w:val="4C8607BA"/>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A251F2"/>
    <w:multiLevelType w:val="hybridMultilevel"/>
    <w:tmpl w:val="CF1E64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D45E8"/>
    <w:multiLevelType w:val="hybridMultilevel"/>
    <w:tmpl w:val="E4E0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1F288E"/>
    <w:multiLevelType w:val="hybridMultilevel"/>
    <w:tmpl w:val="0AD8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EB7107"/>
    <w:multiLevelType w:val="hybridMultilevel"/>
    <w:tmpl w:val="4C8607BA"/>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5C28C4"/>
    <w:multiLevelType w:val="hybridMultilevel"/>
    <w:tmpl w:val="B02C2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D710D"/>
    <w:multiLevelType w:val="hybridMultilevel"/>
    <w:tmpl w:val="AED84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E85110"/>
    <w:multiLevelType w:val="hybridMultilevel"/>
    <w:tmpl w:val="0E2C1E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DB2106"/>
    <w:multiLevelType w:val="hybridMultilevel"/>
    <w:tmpl w:val="21A62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F1037C"/>
    <w:multiLevelType w:val="hybridMultilevel"/>
    <w:tmpl w:val="9FE0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AF3A18"/>
    <w:multiLevelType w:val="hybridMultilevel"/>
    <w:tmpl w:val="4C8607BA"/>
    <w:lvl w:ilvl="0" w:tplc="72D0133E">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D645711"/>
    <w:multiLevelType w:val="hybridMultilevel"/>
    <w:tmpl w:val="EA5420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CC3D5A"/>
    <w:multiLevelType w:val="hybridMultilevel"/>
    <w:tmpl w:val="5EB4A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1F51399"/>
    <w:multiLevelType w:val="hybridMultilevel"/>
    <w:tmpl w:val="718A3E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30C5A8C"/>
    <w:multiLevelType w:val="hybridMultilevel"/>
    <w:tmpl w:val="6B76F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EA27AD"/>
    <w:multiLevelType w:val="hybridMultilevel"/>
    <w:tmpl w:val="82DE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B164ED"/>
    <w:multiLevelType w:val="hybridMultilevel"/>
    <w:tmpl w:val="5F8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C6290B"/>
    <w:multiLevelType w:val="hybridMultilevel"/>
    <w:tmpl w:val="7962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683F64"/>
    <w:multiLevelType w:val="hybridMultilevel"/>
    <w:tmpl w:val="9394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9B5818"/>
    <w:multiLevelType w:val="hybridMultilevel"/>
    <w:tmpl w:val="9FEC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1"/>
  </w:num>
  <w:num w:numId="3">
    <w:abstractNumId w:val="5"/>
  </w:num>
  <w:num w:numId="4">
    <w:abstractNumId w:val="33"/>
  </w:num>
  <w:num w:numId="5">
    <w:abstractNumId w:val="21"/>
  </w:num>
  <w:num w:numId="6">
    <w:abstractNumId w:val="1"/>
  </w:num>
  <w:num w:numId="7">
    <w:abstractNumId w:val="15"/>
  </w:num>
  <w:num w:numId="8">
    <w:abstractNumId w:val="6"/>
  </w:num>
  <w:num w:numId="9">
    <w:abstractNumId w:val="8"/>
  </w:num>
  <w:num w:numId="10">
    <w:abstractNumId w:val="32"/>
  </w:num>
  <w:num w:numId="11">
    <w:abstractNumId w:val="30"/>
  </w:num>
  <w:num w:numId="12">
    <w:abstractNumId w:val="12"/>
  </w:num>
  <w:num w:numId="13">
    <w:abstractNumId w:val="23"/>
  </w:num>
  <w:num w:numId="14">
    <w:abstractNumId w:val="16"/>
  </w:num>
  <w:num w:numId="15">
    <w:abstractNumId w:val="26"/>
  </w:num>
  <w:num w:numId="16">
    <w:abstractNumId w:val="39"/>
  </w:num>
  <w:num w:numId="17">
    <w:abstractNumId w:val="27"/>
  </w:num>
  <w:num w:numId="18">
    <w:abstractNumId w:val="29"/>
  </w:num>
  <w:num w:numId="19">
    <w:abstractNumId w:val="43"/>
  </w:num>
  <w:num w:numId="20">
    <w:abstractNumId w:val="17"/>
  </w:num>
  <w:num w:numId="21">
    <w:abstractNumId w:val="2"/>
  </w:num>
  <w:num w:numId="22">
    <w:abstractNumId w:val="37"/>
  </w:num>
  <w:num w:numId="23">
    <w:abstractNumId w:val="28"/>
  </w:num>
  <w:num w:numId="24">
    <w:abstractNumId w:val="21"/>
  </w:num>
  <w:num w:numId="25">
    <w:abstractNumId w:val="7"/>
  </w:num>
  <w:num w:numId="26">
    <w:abstractNumId w:val="10"/>
  </w:num>
  <w:num w:numId="27">
    <w:abstractNumId w:val="35"/>
  </w:num>
  <w:num w:numId="28">
    <w:abstractNumId w:val="31"/>
  </w:num>
  <w:num w:numId="29">
    <w:abstractNumId w:val="25"/>
  </w:num>
  <w:num w:numId="30">
    <w:abstractNumId w:val="4"/>
  </w:num>
  <w:num w:numId="31">
    <w:abstractNumId w:val="9"/>
  </w:num>
  <w:num w:numId="32">
    <w:abstractNumId w:val="19"/>
  </w:num>
  <w:num w:numId="33">
    <w:abstractNumId w:val="3"/>
  </w:num>
  <w:num w:numId="34">
    <w:abstractNumId w:val="11"/>
  </w:num>
  <w:num w:numId="35">
    <w:abstractNumId w:val="14"/>
  </w:num>
  <w:num w:numId="36">
    <w:abstractNumId w:val="13"/>
  </w:num>
  <w:num w:numId="37">
    <w:abstractNumId w:val="40"/>
  </w:num>
  <w:num w:numId="38">
    <w:abstractNumId w:val="0"/>
  </w:num>
  <w:num w:numId="39">
    <w:abstractNumId w:val="20"/>
  </w:num>
  <w:num w:numId="40">
    <w:abstractNumId w:val="38"/>
  </w:num>
  <w:num w:numId="41">
    <w:abstractNumId w:val="42"/>
  </w:num>
  <w:num w:numId="42">
    <w:abstractNumId w:val="18"/>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AB2"/>
    <w:rsid w:val="000015EE"/>
    <w:rsid w:val="000046C2"/>
    <w:rsid w:val="00004BE6"/>
    <w:rsid w:val="00005D65"/>
    <w:rsid w:val="00005D6C"/>
    <w:rsid w:val="00006B05"/>
    <w:rsid w:val="00006E3D"/>
    <w:rsid w:val="00011348"/>
    <w:rsid w:val="00011588"/>
    <w:rsid w:val="00012810"/>
    <w:rsid w:val="000130F0"/>
    <w:rsid w:val="00014406"/>
    <w:rsid w:val="000156F2"/>
    <w:rsid w:val="00017F21"/>
    <w:rsid w:val="00023CE1"/>
    <w:rsid w:val="00025B5A"/>
    <w:rsid w:val="00025E65"/>
    <w:rsid w:val="00026817"/>
    <w:rsid w:val="0002685D"/>
    <w:rsid w:val="00026960"/>
    <w:rsid w:val="000277CA"/>
    <w:rsid w:val="00027A6C"/>
    <w:rsid w:val="00027AA7"/>
    <w:rsid w:val="000307A1"/>
    <w:rsid w:val="0003088D"/>
    <w:rsid w:val="000311CF"/>
    <w:rsid w:val="00032298"/>
    <w:rsid w:val="00032CEF"/>
    <w:rsid w:val="0003485C"/>
    <w:rsid w:val="00036F2F"/>
    <w:rsid w:val="00037303"/>
    <w:rsid w:val="00037BDF"/>
    <w:rsid w:val="00040EED"/>
    <w:rsid w:val="00041CF2"/>
    <w:rsid w:val="0004367A"/>
    <w:rsid w:val="00043B6F"/>
    <w:rsid w:val="00043DA5"/>
    <w:rsid w:val="000445B6"/>
    <w:rsid w:val="00044A82"/>
    <w:rsid w:val="00045383"/>
    <w:rsid w:val="000473DA"/>
    <w:rsid w:val="00053636"/>
    <w:rsid w:val="00053747"/>
    <w:rsid w:val="00061E62"/>
    <w:rsid w:val="000642CD"/>
    <w:rsid w:val="00065604"/>
    <w:rsid w:val="0006616C"/>
    <w:rsid w:val="000664D5"/>
    <w:rsid w:val="000668E3"/>
    <w:rsid w:val="00067C05"/>
    <w:rsid w:val="00073981"/>
    <w:rsid w:val="00073DC8"/>
    <w:rsid w:val="00075867"/>
    <w:rsid w:val="00080A48"/>
    <w:rsid w:val="00081A37"/>
    <w:rsid w:val="00081EFC"/>
    <w:rsid w:val="00081FAF"/>
    <w:rsid w:val="00083E2E"/>
    <w:rsid w:val="000849BD"/>
    <w:rsid w:val="00087ACD"/>
    <w:rsid w:val="00093A81"/>
    <w:rsid w:val="000947D0"/>
    <w:rsid w:val="00097BCE"/>
    <w:rsid w:val="000A030E"/>
    <w:rsid w:val="000A2D82"/>
    <w:rsid w:val="000A5D03"/>
    <w:rsid w:val="000A70BB"/>
    <w:rsid w:val="000A7650"/>
    <w:rsid w:val="000B27CC"/>
    <w:rsid w:val="000B59F8"/>
    <w:rsid w:val="000C1A01"/>
    <w:rsid w:val="000C309C"/>
    <w:rsid w:val="000C4599"/>
    <w:rsid w:val="000C4791"/>
    <w:rsid w:val="000C4905"/>
    <w:rsid w:val="000C4A85"/>
    <w:rsid w:val="000C6B1A"/>
    <w:rsid w:val="000D024E"/>
    <w:rsid w:val="000D032D"/>
    <w:rsid w:val="000D1A01"/>
    <w:rsid w:val="000D58AB"/>
    <w:rsid w:val="000D69D1"/>
    <w:rsid w:val="000D6A09"/>
    <w:rsid w:val="000E0B04"/>
    <w:rsid w:val="000E1100"/>
    <w:rsid w:val="000E2AE4"/>
    <w:rsid w:val="000E32D4"/>
    <w:rsid w:val="000E410B"/>
    <w:rsid w:val="000F0999"/>
    <w:rsid w:val="000F10DF"/>
    <w:rsid w:val="000F120E"/>
    <w:rsid w:val="000F1346"/>
    <w:rsid w:val="000F319A"/>
    <w:rsid w:val="000F4970"/>
    <w:rsid w:val="000F4E18"/>
    <w:rsid w:val="000F740A"/>
    <w:rsid w:val="000F7CD9"/>
    <w:rsid w:val="00102881"/>
    <w:rsid w:val="00104963"/>
    <w:rsid w:val="00104B87"/>
    <w:rsid w:val="00105545"/>
    <w:rsid w:val="0010583D"/>
    <w:rsid w:val="0010691A"/>
    <w:rsid w:val="0011051C"/>
    <w:rsid w:val="00110973"/>
    <w:rsid w:val="0011215D"/>
    <w:rsid w:val="00112230"/>
    <w:rsid w:val="00112323"/>
    <w:rsid w:val="00112DDE"/>
    <w:rsid w:val="0011530E"/>
    <w:rsid w:val="00116B30"/>
    <w:rsid w:val="00117910"/>
    <w:rsid w:val="001200BB"/>
    <w:rsid w:val="00121666"/>
    <w:rsid w:val="00122568"/>
    <w:rsid w:val="00122726"/>
    <w:rsid w:val="0012302B"/>
    <w:rsid w:val="00123CB4"/>
    <w:rsid w:val="00126FB4"/>
    <w:rsid w:val="0012775F"/>
    <w:rsid w:val="00131B0E"/>
    <w:rsid w:val="00133853"/>
    <w:rsid w:val="00133DC2"/>
    <w:rsid w:val="001349F4"/>
    <w:rsid w:val="0013518B"/>
    <w:rsid w:val="0013695D"/>
    <w:rsid w:val="00141777"/>
    <w:rsid w:val="00142F7F"/>
    <w:rsid w:val="001463A9"/>
    <w:rsid w:val="0014690F"/>
    <w:rsid w:val="00146D89"/>
    <w:rsid w:val="00147C27"/>
    <w:rsid w:val="00150042"/>
    <w:rsid w:val="00150438"/>
    <w:rsid w:val="00151AB1"/>
    <w:rsid w:val="00151E08"/>
    <w:rsid w:val="00152386"/>
    <w:rsid w:val="001527BF"/>
    <w:rsid w:val="001564D5"/>
    <w:rsid w:val="001566CC"/>
    <w:rsid w:val="001577C8"/>
    <w:rsid w:val="00157876"/>
    <w:rsid w:val="00157989"/>
    <w:rsid w:val="001601D0"/>
    <w:rsid w:val="00161DC5"/>
    <w:rsid w:val="001625A0"/>
    <w:rsid w:val="001629D5"/>
    <w:rsid w:val="00163252"/>
    <w:rsid w:val="00165D41"/>
    <w:rsid w:val="00167950"/>
    <w:rsid w:val="001703CF"/>
    <w:rsid w:val="00172A7E"/>
    <w:rsid w:val="00172D47"/>
    <w:rsid w:val="001772A9"/>
    <w:rsid w:val="0018323B"/>
    <w:rsid w:val="00184334"/>
    <w:rsid w:val="00184881"/>
    <w:rsid w:val="00184AB0"/>
    <w:rsid w:val="00184DFA"/>
    <w:rsid w:val="00186F70"/>
    <w:rsid w:val="00187102"/>
    <w:rsid w:val="00187D9B"/>
    <w:rsid w:val="0019095F"/>
    <w:rsid w:val="0019177E"/>
    <w:rsid w:val="0019222F"/>
    <w:rsid w:val="00192AAB"/>
    <w:rsid w:val="00192B1F"/>
    <w:rsid w:val="00193618"/>
    <w:rsid w:val="00195A1B"/>
    <w:rsid w:val="00196ACE"/>
    <w:rsid w:val="0019704E"/>
    <w:rsid w:val="001A1CA6"/>
    <w:rsid w:val="001A6324"/>
    <w:rsid w:val="001A674B"/>
    <w:rsid w:val="001A7673"/>
    <w:rsid w:val="001A7A88"/>
    <w:rsid w:val="001B114B"/>
    <w:rsid w:val="001B4683"/>
    <w:rsid w:val="001B6ACB"/>
    <w:rsid w:val="001B7B87"/>
    <w:rsid w:val="001C0F9F"/>
    <w:rsid w:val="001C19F6"/>
    <w:rsid w:val="001C47FF"/>
    <w:rsid w:val="001C4ECF"/>
    <w:rsid w:val="001C5DDF"/>
    <w:rsid w:val="001C6361"/>
    <w:rsid w:val="001C63E1"/>
    <w:rsid w:val="001C70E1"/>
    <w:rsid w:val="001D0486"/>
    <w:rsid w:val="001D2FEE"/>
    <w:rsid w:val="001D5242"/>
    <w:rsid w:val="001D5B33"/>
    <w:rsid w:val="001D6CB5"/>
    <w:rsid w:val="001E0EBE"/>
    <w:rsid w:val="001E102E"/>
    <w:rsid w:val="001E22E5"/>
    <w:rsid w:val="001E23FF"/>
    <w:rsid w:val="001E6DE1"/>
    <w:rsid w:val="001F11A2"/>
    <w:rsid w:val="001F2865"/>
    <w:rsid w:val="001F3D0E"/>
    <w:rsid w:val="001F4FAF"/>
    <w:rsid w:val="001F5459"/>
    <w:rsid w:val="001F6BAC"/>
    <w:rsid w:val="001F6FCE"/>
    <w:rsid w:val="001F7836"/>
    <w:rsid w:val="001F7842"/>
    <w:rsid w:val="0020050B"/>
    <w:rsid w:val="0020158E"/>
    <w:rsid w:val="00203A70"/>
    <w:rsid w:val="00206020"/>
    <w:rsid w:val="00206611"/>
    <w:rsid w:val="00206E14"/>
    <w:rsid w:val="00207C08"/>
    <w:rsid w:val="002103C6"/>
    <w:rsid w:val="00210B11"/>
    <w:rsid w:val="00211115"/>
    <w:rsid w:val="0021265B"/>
    <w:rsid w:val="002128DD"/>
    <w:rsid w:val="00215552"/>
    <w:rsid w:val="00215930"/>
    <w:rsid w:val="002179FE"/>
    <w:rsid w:val="00221B3C"/>
    <w:rsid w:val="00222FAD"/>
    <w:rsid w:val="00223821"/>
    <w:rsid w:val="00224106"/>
    <w:rsid w:val="00224125"/>
    <w:rsid w:val="002242E2"/>
    <w:rsid w:val="00225D8C"/>
    <w:rsid w:val="0022617D"/>
    <w:rsid w:val="0022659D"/>
    <w:rsid w:val="002276E3"/>
    <w:rsid w:val="00227967"/>
    <w:rsid w:val="00227C29"/>
    <w:rsid w:val="00232464"/>
    <w:rsid w:val="002335CF"/>
    <w:rsid w:val="00235A38"/>
    <w:rsid w:val="00236842"/>
    <w:rsid w:val="00236F90"/>
    <w:rsid w:val="0024097F"/>
    <w:rsid w:val="00241560"/>
    <w:rsid w:val="00241E25"/>
    <w:rsid w:val="00242854"/>
    <w:rsid w:val="00244D7E"/>
    <w:rsid w:val="00250485"/>
    <w:rsid w:val="00250E38"/>
    <w:rsid w:val="002511DF"/>
    <w:rsid w:val="002523A1"/>
    <w:rsid w:val="00254AEC"/>
    <w:rsid w:val="00254C63"/>
    <w:rsid w:val="00254F75"/>
    <w:rsid w:val="00255BB1"/>
    <w:rsid w:val="00260235"/>
    <w:rsid w:val="00261934"/>
    <w:rsid w:val="00262ADA"/>
    <w:rsid w:val="00262B48"/>
    <w:rsid w:val="0026420B"/>
    <w:rsid w:val="0026497F"/>
    <w:rsid w:val="00267EB1"/>
    <w:rsid w:val="00270CAE"/>
    <w:rsid w:val="0027441B"/>
    <w:rsid w:val="00274499"/>
    <w:rsid w:val="002746D3"/>
    <w:rsid w:val="00274970"/>
    <w:rsid w:val="00275701"/>
    <w:rsid w:val="00277172"/>
    <w:rsid w:val="00282F4A"/>
    <w:rsid w:val="002841E9"/>
    <w:rsid w:val="00286127"/>
    <w:rsid w:val="00286CDE"/>
    <w:rsid w:val="00290A49"/>
    <w:rsid w:val="00291D23"/>
    <w:rsid w:val="002927C9"/>
    <w:rsid w:val="00292B5A"/>
    <w:rsid w:val="00292C99"/>
    <w:rsid w:val="00295266"/>
    <w:rsid w:val="00295E14"/>
    <w:rsid w:val="0029609F"/>
    <w:rsid w:val="00297111"/>
    <w:rsid w:val="00297D35"/>
    <w:rsid w:val="002A146D"/>
    <w:rsid w:val="002A151D"/>
    <w:rsid w:val="002A17AC"/>
    <w:rsid w:val="002A1FC5"/>
    <w:rsid w:val="002A29AD"/>
    <w:rsid w:val="002A39E4"/>
    <w:rsid w:val="002A3FD0"/>
    <w:rsid w:val="002A447D"/>
    <w:rsid w:val="002A7717"/>
    <w:rsid w:val="002B147C"/>
    <w:rsid w:val="002B1CD9"/>
    <w:rsid w:val="002B478B"/>
    <w:rsid w:val="002B551B"/>
    <w:rsid w:val="002B61BF"/>
    <w:rsid w:val="002B7E45"/>
    <w:rsid w:val="002C0CF5"/>
    <w:rsid w:val="002C0E23"/>
    <w:rsid w:val="002C1291"/>
    <w:rsid w:val="002C28F7"/>
    <w:rsid w:val="002C5146"/>
    <w:rsid w:val="002C6AEA"/>
    <w:rsid w:val="002D3F7D"/>
    <w:rsid w:val="002D4140"/>
    <w:rsid w:val="002D4929"/>
    <w:rsid w:val="002D62A9"/>
    <w:rsid w:val="002D6B13"/>
    <w:rsid w:val="002E14FC"/>
    <w:rsid w:val="002E23FD"/>
    <w:rsid w:val="002E3F7A"/>
    <w:rsid w:val="002E5535"/>
    <w:rsid w:val="002F3661"/>
    <w:rsid w:val="002F3740"/>
    <w:rsid w:val="002F37B0"/>
    <w:rsid w:val="002F45A6"/>
    <w:rsid w:val="002F51AB"/>
    <w:rsid w:val="002F63CA"/>
    <w:rsid w:val="002F7F64"/>
    <w:rsid w:val="00301628"/>
    <w:rsid w:val="00301902"/>
    <w:rsid w:val="0030298B"/>
    <w:rsid w:val="0030326B"/>
    <w:rsid w:val="00306A96"/>
    <w:rsid w:val="0030724E"/>
    <w:rsid w:val="003077C4"/>
    <w:rsid w:val="00310524"/>
    <w:rsid w:val="00310974"/>
    <w:rsid w:val="00311324"/>
    <w:rsid w:val="00311914"/>
    <w:rsid w:val="00312852"/>
    <w:rsid w:val="00313894"/>
    <w:rsid w:val="003145C9"/>
    <w:rsid w:val="00314A36"/>
    <w:rsid w:val="00317F14"/>
    <w:rsid w:val="00320E04"/>
    <w:rsid w:val="00324EB1"/>
    <w:rsid w:val="0032538B"/>
    <w:rsid w:val="00325E22"/>
    <w:rsid w:val="003265AF"/>
    <w:rsid w:val="00326E40"/>
    <w:rsid w:val="0032737F"/>
    <w:rsid w:val="00331043"/>
    <w:rsid w:val="00332483"/>
    <w:rsid w:val="0033297C"/>
    <w:rsid w:val="00333758"/>
    <w:rsid w:val="00335944"/>
    <w:rsid w:val="00336A4B"/>
    <w:rsid w:val="003371D6"/>
    <w:rsid w:val="00337233"/>
    <w:rsid w:val="00337483"/>
    <w:rsid w:val="00343695"/>
    <w:rsid w:val="003451CC"/>
    <w:rsid w:val="00345DD1"/>
    <w:rsid w:val="00346007"/>
    <w:rsid w:val="00346069"/>
    <w:rsid w:val="00346B9C"/>
    <w:rsid w:val="00354A73"/>
    <w:rsid w:val="00355B84"/>
    <w:rsid w:val="003561BE"/>
    <w:rsid w:val="0036435B"/>
    <w:rsid w:val="003644A2"/>
    <w:rsid w:val="0036751E"/>
    <w:rsid w:val="00367AF5"/>
    <w:rsid w:val="003717D0"/>
    <w:rsid w:val="00373270"/>
    <w:rsid w:val="00376BA1"/>
    <w:rsid w:val="00377223"/>
    <w:rsid w:val="00377A7A"/>
    <w:rsid w:val="0038020D"/>
    <w:rsid w:val="00382634"/>
    <w:rsid w:val="00383C44"/>
    <w:rsid w:val="003841D7"/>
    <w:rsid w:val="00385F2A"/>
    <w:rsid w:val="00387DB1"/>
    <w:rsid w:val="00387DE0"/>
    <w:rsid w:val="003907AA"/>
    <w:rsid w:val="00390F2E"/>
    <w:rsid w:val="00392F5F"/>
    <w:rsid w:val="003937E6"/>
    <w:rsid w:val="003937FD"/>
    <w:rsid w:val="00393D1F"/>
    <w:rsid w:val="003A1761"/>
    <w:rsid w:val="003A1E97"/>
    <w:rsid w:val="003A218F"/>
    <w:rsid w:val="003A36A4"/>
    <w:rsid w:val="003A4806"/>
    <w:rsid w:val="003A501F"/>
    <w:rsid w:val="003A640B"/>
    <w:rsid w:val="003A6900"/>
    <w:rsid w:val="003A735C"/>
    <w:rsid w:val="003A7959"/>
    <w:rsid w:val="003A7C90"/>
    <w:rsid w:val="003B13CE"/>
    <w:rsid w:val="003B1CB1"/>
    <w:rsid w:val="003B1D8F"/>
    <w:rsid w:val="003B278D"/>
    <w:rsid w:val="003B3010"/>
    <w:rsid w:val="003B32CF"/>
    <w:rsid w:val="003B4F00"/>
    <w:rsid w:val="003B6564"/>
    <w:rsid w:val="003B743D"/>
    <w:rsid w:val="003B773B"/>
    <w:rsid w:val="003C0164"/>
    <w:rsid w:val="003C3492"/>
    <w:rsid w:val="003C3559"/>
    <w:rsid w:val="003C52FB"/>
    <w:rsid w:val="003C649A"/>
    <w:rsid w:val="003C6F41"/>
    <w:rsid w:val="003C7BBC"/>
    <w:rsid w:val="003D0EFA"/>
    <w:rsid w:val="003D13C8"/>
    <w:rsid w:val="003D48ED"/>
    <w:rsid w:val="003D532B"/>
    <w:rsid w:val="003E03ED"/>
    <w:rsid w:val="003E163E"/>
    <w:rsid w:val="003E41A9"/>
    <w:rsid w:val="003E6979"/>
    <w:rsid w:val="003E6B0E"/>
    <w:rsid w:val="003F1D61"/>
    <w:rsid w:val="003F2948"/>
    <w:rsid w:val="003F46EC"/>
    <w:rsid w:val="003F4926"/>
    <w:rsid w:val="003F4E2D"/>
    <w:rsid w:val="003F6B98"/>
    <w:rsid w:val="003F749B"/>
    <w:rsid w:val="00400C7C"/>
    <w:rsid w:val="0040163B"/>
    <w:rsid w:val="004029B6"/>
    <w:rsid w:val="00403B8F"/>
    <w:rsid w:val="00403C28"/>
    <w:rsid w:val="004041BE"/>
    <w:rsid w:val="0041078C"/>
    <w:rsid w:val="00411028"/>
    <w:rsid w:val="00411DCB"/>
    <w:rsid w:val="00413E82"/>
    <w:rsid w:val="004148F0"/>
    <w:rsid w:val="00416844"/>
    <w:rsid w:val="00417900"/>
    <w:rsid w:val="00423AFD"/>
    <w:rsid w:val="00424466"/>
    <w:rsid w:val="00424F8D"/>
    <w:rsid w:val="00425964"/>
    <w:rsid w:val="00426151"/>
    <w:rsid w:val="00426177"/>
    <w:rsid w:val="004268A8"/>
    <w:rsid w:val="004309B6"/>
    <w:rsid w:val="00430EA7"/>
    <w:rsid w:val="00433368"/>
    <w:rsid w:val="00433ABF"/>
    <w:rsid w:val="004348B8"/>
    <w:rsid w:val="00435995"/>
    <w:rsid w:val="004365FA"/>
    <w:rsid w:val="00437719"/>
    <w:rsid w:val="00440E6C"/>
    <w:rsid w:val="004445B2"/>
    <w:rsid w:val="004544A2"/>
    <w:rsid w:val="00455874"/>
    <w:rsid w:val="00456A38"/>
    <w:rsid w:val="00456CF0"/>
    <w:rsid w:val="00460BE7"/>
    <w:rsid w:val="004613D8"/>
    <w:rsid w:val="00461933"/>
    <w:rsid w:val="0046261A"/>
    <w:rsid w:val="0046281B"/>
    <w:rsid w:val="0046425E"/>
    <w:rsid w:val="00464798"/>
    <w:rsid w:val="00464B24"/>
    <w:rsid w:val="004650A6"/>
    <w:rsid w:val="00465665"/>
    <w:rsid w:val="00465AAC"/>
    <w:rsid w:val="0047109B"/>
    <w:rsid w:val="004769D3"/>
    <w:rsid w:val="00477CE5"/>
    <w:rsid w:val="00480BE3"/>
    <w:rsid w:val="00482539"/>
    <w:rsid w:val="0048286F"/>
    <w:rsid w:val="0048322F"/>
    <w:rsid w:val="00483502"/>
    <w:rsid w:val="00485815"/>
    <w:rsid w:val="004870DC"/>
    <w:rsid w:val="00491617"/>
    <w:rsid w:val="00491CE0"/>
    <w:rsid w:val="004925D7"/>
    <w:rsid w:val="004934FE"/>
    <w:rsid w:val="004968B7"/>
    <w:rsid w:val="004977F3"/>
    <w:rsid w:val="004A0CC3"/>
    <w:rsid w:val="004A23F9"/>
    <w:rsid w:val="004A2762"/>
    <w:rsid w:val="004A34C1"/>
    <w:rsid w:val="004A38CB"/>
    <w:rsid w:val="004A4B9E"/>
    <w:rsid w:val="004A593A"/>
    <w:rsid w:val="004A66FD"/>
    <w:rsid w:val="004B0402"/>
    <w:rsid w:val="004B254E"/>
    <w:rsid w:val="004B3469"/>
    <w:rsid w:val="004B360A"/>
    <w:rsid w:val="004B43F6"/>
    <w:rsid w:val="004C0AEF"/>
    <w:rsid w:val="004C1203"/>
    <w:rsid w:val="004C218E"/>
    <w:rsid w:val="004C2E54"/>
    <w:rsid w:val="004C309E"/>
    <w:rsid w:val="004C699B"/>
    <w:rsid w:val="004C6BCB"/>
    <w:rsid w:val="004C6F3B"/>
    <w:rsid w:val="004C7166"/>
    <w:rsid w:val="004D071C"/>
    <w:rsid w:val="004D0C28"/>
    <w:rsid w:val="004D3F12"/>
    <w:rsid w:val="004E065E"/>
    <w:rsid w:val="004E285B"/>
    <w:rsid w:val="004E45F8"/>
    <w:rsid w:val="004F01BD"/>
    <w:rsid w:val="004F3CA4"/>
    <w:rsid w:val="004F4154"/>
    <w:rsid w:val="004F49A7"/>
    <w:rsid w:val="004F5D14"/>
    <w:rsid w:val="005010A1"/>
    <w:rsid w:val="00505152"/>
    <w:rsid w:val="0050601C"/>
    <w:rsid w:val="00507F2E"/>
    <w:rsid w:val="0051483C"/>
    <w:rsid w:val="00514C7A"/>
    <w:rsid w:val="00516D2C"/>
    <w:rsid w:val="00520B79"/>
    <w:rsid w:val="0052259A"/>
    <w:rsid w:val="0052356A"/>
    <w:rsid w:val="00523E9D"/>
    <w:rsid w:val="00524318"/>
    <w:rsid w:val="0054004A"/>
    <w:rsid w:val="005405D3"/>
    <w:rsid w:val="0054069C"/>
    <w:rsid w:val="005406D3"/>
    <w:rsid w:val="00541F01"/>
    <w:rsid w:val="00543D91"/>
    <w:rsid w:val="00544F65"/>
    <w:rsid w:val="0054548F"/>
    <w:rsid w:val="0054632A"/>
    <w:rsid w:val="00550DD5"/>
    <w:rsid w:val="005523DC"/>
    <w:rsid w:val="00553CB4"/>
    <w:rsid w:val="0055586E"/>
    <w:rsid w:val="00555B03"/>
    <w:rsid w:val="00556F1C"/>
    <w:rsid w:val="00560317"/>
    <w:rsid w:val="00560E96"/>
    <w:rsid w:val="005625D2"/>
    <w:rsid w:val="00562E12"/>
    <w:rsid w:val="005645AF"/>
    <w:rsid w:val="005658F2"/>
    <w:rsid w:val="00567949"/>
    <w:rsid w:val="00572A2C"/>
    <w:rsid w:val="00573175"/>
    <w:rsid w:val="00573CBE"/>
    <w:rsid w:val="00574EBF"/>
    <w:rsid w:val="00575A6F"/>
    <w:rsid w:val="00576EEB"/>
    <w:rsid w:val="00577505"/>
    <w:rsid w:val="00580023"/>
    <w:rsid w:val="00581D03"/>
    <w:rsid w:val="00582FCF"/>
    <w:rsid w:val="0058358A"/>
    <w:rsid w:val="00584821"/>
    <w:rsid w:val="00585003"/>
    <w:rsid w:val="00585580"/>
    <w:rsid w:val="00585801"/>
    <w:rsid w:val="00586498"/>
    <w:rsid w:val="005874E3"/>
    <w:rsid w:val="005875B8"/>
    <w:rsid w:val="005907CB"/>
    <w:rsid w:val="005908E0"/>
    <w:rsid w:val="005970BF"/>
    <w:rsid w:val="005A0D38"/>
    <w:rsid w:val="005A1061"/>
    <w:rsid w:val="005A18CE"/>
    <w:rsid w:val="005A2485"/>
    <w:rsid w:val="005A3CA7"/>
    <w:rsid w:val="005A4332"/>
    <w:rsid w:val="005A4480"/>
    <w:rsid w:val="005A6EE7"/>
    <w:rsid w:val="005B12D4"/>
    <w:rsid w:val="005B24D8"/>
    <w:rsid w:val="005B3347"/>
    <w:rsid w:val="005B3EBA"/>
    <w:rsid w:val="005B4131"/>
    <w:rsid w:val="005B48EE"/>
    <w:rsid w:val="005B48F5"/>
    <w:rsid w:val="005B4DB5"/>
    <w:rsid w:val="005B7B1F"/>
    <w:rsid w:val="005B7CC4"/>
    <w:rsid w:val="005C0232"/>
    <w:rsid w:val="005C1BF1"/>
    <w:rsid w:val="005C2105"/>
    <w:rsid w:val="005C3766"/>
    <w:rsid w:val="005C3BB8"/>
    <w:rsid w:val="005C4DFA"/>
    <w:rsid w:val="005C5940"/>
    <w:rsid w:val="005C76F7"/>
    <w:rsid w:val="005C7C4F"/>
    <w:rsid w:val="005D257A"/>
    <w:rsid w:val="005D4A0A"/>
    <w:rsid w:val="005D59B2"/>
    <w:rsid w:val="005D5DF5"/>
    <w:rsid w:val="005D7031"/>
    <w:rsid w:val="005E099E"/>
    <w:rsid w:val="005E0EFC"/>
    <w:rsid w:val="005E5716"/>
    <w:rsid w:val="005E59C6"/>
    <w:rsid w:val="005E73DF"/>
    <w:rsid w:val="005E7599"/>
    <w:rsid w:val="005F339D"/>
    <w:rsid w:val="005F3E49"/>
    <w:rsid w:val="005F4D03"/>
    <w:rsid w:val="005F5910"/>
    <w:rsid w:val="00600DAA"/>
    <w:rsid w:val="00600E0C"/>
    <w:rsid w:val="00603AB6"/>
    <w:rsid w:val="00604166"/>
    <w:rsid w:val="00604366"/>
    <w:rsid w:val="00607195"/>
    <w:rsid w:val="00612AF9"/>
    <w:rsid w:val="0061387D"/>
    <w:rsid w:val="00614034"/>
    <w:rsid w:val="00614954"/>
    <w:rsid w:val="006152F6"/>
    <w:rsid w:val="00616BA8"/>
    <w:rsid w:val="00616CB1"/>
    <w:rsid w:val="00623B3B"/>
    <w:rsid w:val="006250D9"/>
    <w:rsid w:val="00625F30"/>
    <w:rsid w:val="0062609C"/>
    <w:rsid w:val="0062772F"/>
    <w:rsid w:val="00631CD5"/>
    <w:rsid w:val="006330B4"/>
    <w:rsid w:val="006333B4"/>
    <w:rsid w:val="006339FD"/>
    <w:rsid w:val="006408D0"/>
    <w:rsid w:val="00643044"/>
    <w:rsid w:val="006448B1"/>
    <w:rsid w:val="00644A24"/>
    <w:rsid w:val="00651439"/>
    <w:rsid w:val="0065677C"/>
    <w:rsid w:val="00657256"/>
    <w:rsid w:val="00660CA7"/>
    <w:rsid w:val="00661841"/>
    <w:rsid w:val="00661E84"/>
    <w:rsid w:val="00666F7E"/>
    <w:rsid w:val="00667382"/>
    <w:rsid w:val="006675AB"/>
    <w:rsid w:val="00670C9B"/>
    <w:rsid w:val="00671377"/>
    <w:rsid w:val="00671473"/>
    <w:rsid w:val="00671E9E"/>
    <w:rsid w:val="006725D2"/>
    <w:rsid w:val="006726E0"/>
    <w:rsid w:val="00672C4D"/>
    <w:rsid w:val="00673721"/>
    <w:rsid w:val="00673730"/>
    <w:rsid w:val="00674032"/>
    <w:rsid w:val="00675BDC"/>
    <w:rsid w:val="006762EF"/>
    <w:rsid w:val="00681CB3"/>
    <w:rsid w:val="00681F10"/>
    <w:rsid w:val="0068225C"/>
    <w:rsid w:val="0068261E"/>
    <w:rsid w:val="00683777"/>
    <w:rsid w:val="00683B1E"/>
    <w:rsid w:val="006841F7"/>
    <w:rsid w:val="006908FF"/>
    <w:rsid w:val="006909A2"/>
    <w:rsid w:val="00691454"/>
    <w:rsid w:val="00693813"/>
    <w:rsid w:val="00694F1A"/>
    <w:rsid w:val="00695DA1"/>
    <w:rsid w:val="006970E5"/>
    <w:rsid w:val="006A1858"/>
    <w:rsid w:val="006A23BB"/>
    <w:rsid w:val="006A35DE"/>
    <w:rsid w:val="006A45A9"/>
    <w:rsid w:val="006A495C"/>
    <w:rsid w:val="006A585D"/>
    <w:rsid w:val="006A6BB0"/>
    <w:rsid w:val="006A7D0F"/>
    <w:rsid w:val="006A7F25"/>
    <w:rsid w:val="006B1B4B"/>
    <w:rsid w:val="006B23DE"/>
    <w:rsid w:val="006B3619"/>
    <w:rsid w:val="006B363A"/>
    <w:rsid w:val="006B376B"/>
    <w:rsid w:val="006B56FD"/>
    <w:rsid w:val="006B7F36"/>
    <w:rsid w:val="006B7F71"/>
    <w:rsid w:val="006C08A0"/>
    <w:rsid w:val="006C0DFA"/>
    <w:rsid w:val="006C119C"/>
    <w:rsid w:val="006C1F13"/>
    <w:rsid w:val="006C58AC"/>
    <w:rsid w:val="006D0088"/>
    <w:rsid w:val="006D07D4"/>
    <w:rsid w:val="006D0CE0"/>
    <w:rsid w:val="006D0FBF"/>
    <w:rsid w:val="006D1561"/>
    <w:rsid w:val="006D1935"/>
    <w:rsid w:val="006D2208"/>
    <w:rsid w:val="006D2C6D"/>
    <w:rsid w:val="006D4019"/>
    <w:rsid w:val="006D51F4"/>
    <w:rsid w:val="006D5767"/>
    <w:rsid w:val="006D763C"/>
    <w:rsid w:val="006D7FF6"/>
    <w:rsid w:val="006E058D"/>
    <w:rsid w:val="006E123E"/>
    <w:rsid w:val="006E1DD9"/>
    <w:rsid w:val="006E654E"/>
    <w:rsid w:val="006E6CAE"/>
    <w:rsid w:val="006E74E2"/>
    <w:rsid w:val="006F2297"/>
    <w:rsid w:val="006F4D43"/>
    <w:rsid w:val="006F5619"/>
    <w:rsid w:val="006F6F44"/>
    <w:rsid w:val="006F74D5"/>
    <w:rsid w:val="00700EC7"/>
    <w:rsid w:val="00702185"/>
    <w:rsid w:val="0071088D"/>
    <w:rsid w:val="00710B96"/>
    <w:rsid w:val="00711D4C"/>
    <w:rsid w:val="00712601"/>
    <w:rsid w:val="00713225"/>
    <w:rsid w:val="00714F76"/>
    <w:rsid w:val="007166B1"/>
    <w:rsid w:val="007220DE"/>
    <w:rsid w:val="0072282C"/>
    <w:rsid w:val="00724B18"/>
    <w:rsid w:val="00726E34"/>
    <w:rsid w:val="0072752E"/>
    <w:rsid w:val="00732787"/>
    <w:rsid w:val="0073309F"/>
    <w:rsid w:val="00734C47"/>
    <w:rsid w:val="00736A24"/>
    <w:rsid w:val="007376CA"/>
    <w:rsid w:val="00740EB8"/>
    <w:rsid w:val="00741F35"/>
    <w:rsid w:val="007430F8"/>
    <w:rsid w:val="00745B47"/>
    <w:rsid w:val="007516A4"/>
    <w:rsid w:val="007553F6"/>
    <w:rsid w:val="00755D0D"/>
    <w:rsid w:val="00760CD8"/>
    <w:rsid w:val="00762E33"/>
    <w:rsid w:val="00762FC2"/>
    <w:rsid w:val="00765139"/>
    <w:rsid w:val="00770707"/>
    <w:rsid w:val="00770C11"/>
    <w:rsid w:val="00770EE6"/>
    <w:rsid w:val="007735CF"/>
    <w:rsid w:val="007738CD"/>
    <w:rsid w:val="0077542B"/>
    <w:rsid w:val="00775670"/>
    <w:rsid w:val="00776613"/>
    <w:rsid w:val="00776664"/>
    <w:rsid w:val="00781262"/>
    <w:rsid w:val="00783262"/>
    <w:rsid w:val="007837EF"/>
    <w:rsid w:val="007877DC"/>
    <w:rsid w:val="00790543"/>
    <w:rsid w:val="007912A6"/>
    <w:rsid w:val="007946EF"/>
    <w:rsid w:val="007948B7"/>
    <w:rsid w:val="00795F61"/>
    <w:rsid w:val="0079746A"/>
    <w:rsid w:val="007A07B8"/>
    <w:rsid w:val="007A086A"/>
    <w:rsid w:val="007A49C9"/>
    <w:rsid w:val="007A701A"/>
    <w:rsid w:val="007B036A"/>
    <w:rsid w:val="007B377D"/>
    <w:rsid w:val="007B5982"/>
    <w:rsid w:val="007B5E4E"/>
    <w:rsid w:val="007C04B0"/>
    <w:rsid w:val="007C04E2"/>
    <w:rsid w:val="007C1D34"/>
    <w:rsid w:val="007C258E"/>
    <w:rsid w:val="007C2C5A"/>
    <w:rsid w:val="007C4A09"/>
    <w:rsid w:val="007C4AAB"/>
    <w:rsid w:val="007C4C7C"/>
    <w:rsid w:val="007C4CE3"/>
    <w:rsid w:val="007C5D86"/>
    <w:rsid w:val="007C60EB"/>
    <w:rsid w:val="007C674F"/>
    <w:rsid w:val="007C7522"/>
    <w:rsid w:val="007D37BD"/>
    <w:rsid w:val="007D5727"/>
    <w:rsid w:val="007D577E"/>
    <w:rsid w:val="007D5B21"/>
    <w:rsid w:val="007D6152"/>
    <w:rsid w:val="007D61CC"/>
    <w:rsid w:val="007D702F"/>
    <w:rsid w:val="007D7504"/>
    <w:rsid w:val="007D7C6E"/>
    <w:rsid w:val="007E20D5"/>
    <w:rsid w:val="007E2794"/>
    <w:rsid w:val="007E68DF"/>
    <w:rsid w:val="007E6C87"/>
    <w:rsid w:val="007E7A99"/>
    <w:rsid w:val="007E7E17"/>
    <w:rsid w:val="007F2878"/>
    <w:rsid w:val="007F302F"/>
    <w:rsid w:val="007F3EAB"/>
    <w:rsid w:val="007F453B"/>
    <w:rsid w:val="007F61C0"/>
    <w:rsid w:val="008005C3"/>
    <w:rsid w:val="0080221F"/>
    <w:rsid w:val="008026DF"/>
    <w:rsid w:val="00804840"/>
    <w:rsid w:val="00804A2A"/>
    <w:rsid w:val="00804C04"/>
    <w:rsid w:val="00806989"/>
    <w:rsid w:val="00807769"/>
    <w:rsid w:val="00807AEA"/>
    <w:rsid w:val="00807C19"/>
    <w:rsid w:val="008109D3"/>
    <w:rsid w:val="00811114"/>
    <w:rsid w:val="00811537"/>
    <w:rsid w:val="00814161"/>
    <w:rsid w:val="00814162"/>
    <w:rsid w:val="00814A5E"/>
    <w:rsid w:val="00814C67"/>
    <w:rsid w:val="00816F17"/>
    <w:rsid w:val="008200AB"/>
    <w:rsid w:val="008209F4"/>
    <w:rsid w:val="008211CF"/>
    <w:rsid w:val="00822945"/>
    <w:rsid w:val="00827352"/>
    <w:rsid w:val="0083086D"/>
    <w:rsid w:val="008358CD"/>
    <w:rsid w:val="0083604A"/>
    <w:rsid w:val="00836E7E"/>
    <w:rsid w:val="0083715E"/>
    <w:rsid w:val="00840FEF"/>
    <w:rsid w:val="00843077"/>
    <w:rsid w:val="00843DB6"/>
    <w:rsid w:val="00847445"/>
    <w:rsid w:val="00847614"/>
    <w:rsid w:val="00850605"/>
    <w:rsid w:val="0085222E"/>
    <w:rsid w:val="008541CD"/>
    <w:rsid w:val="00854615"/>
    <w:rsid w:val="00857458"/>
    <w:rsid w:val="00857981"/>
    <w:rsid w:val="00857D8A"/>
    <w:rsid w:val="00862423"/>
    <w:rsid w:val="00862626"/>
    <w:rsid w:val="00862662"/>
    <w:rsid w:val="00863DD6"/>
    <w:rsid w:val="00867BF8"/>
    <w:rsid w:val="0087032D"/>
    <w:rsid w:val="0087095B"/>
    <w:rsid w:val="008717A9"/>
    <w:rsid w:val="008743DB"/>
    <w:rsid w:val="00877877"/>
    <w:rsid w:val="00880E43"/>
    <w:rsid w:val="00880E55"/>
    <w:rsid w:val="00883A23"/>
    <w:rsid w:val="00883CAD"/>
    <w:rsid w:val="00884B46"/>
    <w:rsid w:val="00885459"/>
    <w:rsid w:val="00885885"/>
    <w:rsid w:val="0088607F"/>
    <w:rsid w:val="0088712E"/>
    <w:rsid w:val="008873FB"/>
    <w:rsid w:val="00887964"/>
    <w:rsid w:val="00893A90"/>
    <w:rsid w:val="00894B56"/>
    <w:rsid w:val="00896E58"/>
    <w:rsid w:val="00897DD5"/>
    <w:rsid w:val="008A05EA"/>
    <w:rsid w:val="008A151E"/>
    <w:rsid w:val="008A2166"/>
    <w:rsid w:val="008A24F6"/>
    <w:rsid w:val="008A54DB"/>
    <w:rsid w:val="008A7A8E"/>
    <w:rsid w:val="008A7B64"/>
    <w:rsid w:val="008B01AD"/>
    <w:rsid w:val="008B197B"/>
    <w:rsid w:val="008B1A35"/>
    <w:rsid w:val="008B5076"/>
    <w:rsid w:val="008B51A6"/>
    <w:rsid w:val="008B671E"/>
    <w:rsid w:val="008B67CA"/>
    <w:rsid w:val="008B6E4E"/>
    <w:rsid w:val="008C25DF"/>
    <w:rsid w:val="008C2CF6"/>
    <w:rsid w:val="008C4A8C"/>
    <w:rsid w:val="008C4DFE"/>
    <w:rsid w:val="008C5AF2"/>
    <w:rsid w:val="008C70CA"/>
    <w:rsid w:val="008D132A"/>
    <w:rsid w:val="008D1453"/>
    <w:rsid w:val="008D4182"/>
    <w:rsid w:val="008D6CFA"/>
    <w:rsid w:val="008D7968"/>
    <w:rsid w:val="008E20A3"/>
    <w:rsid w:val="008E2639"/>
    <w:rsid w:val="008E30F5"/>
    <w:rsid w:val="008E3BC5"/>
    <w:rsid w:val="008E44F4"/>
    <w:rsid w:val="008E4ACF"/>
    <w:rsid w:val="008E4C4E"/>
    <w:rsid w:val="008E4F67"/>
    <w:rsid w:val="008E52E4"/>
    <w:rsid w:val="008E5465"/>
    <w:rsid w:val="008E6022"/>
    <w:rsid w:val="008E62BD"/>
    <w:rsid w:val="008E6A28"/>
    <w:rsid w:val="008E7469"/>
    <w:rsid w:val="008E79CB"/>
    <w:rsid w:val="008F0E07"/>
    <w:rsid w:val="008F21D8"/>
    <w:rsid w:val="008F3AF9"/>
    <w:rsid w:val="008F415B"/>
    <w:rsid w:val="008F4B81"/>
    <w:rsid w:val="008F5707"/>
    <w:rsid w:val="008F5B6C"/>
    <w:rsid w:val="008F708F"/>
    <w:rsid w:val="008F74EF"/>
    <w:rsid w:val="008F7D02"/>
    <w:rsid w:val="0090039C"/>
    <w:rsid w:val="00901E0B"/>
    <w:rsid w:val="00904174"/>
    <w:rsid w:val="00913B32"/>
    <w:rsid w:val="00913BE1"/>
    <w:rsid w:val="00914811"/>
    <w:rsid w:val="0091570F"/>
    <w:rsid w:val="009179B3"/>
    <w:rsid w:val="00917C37"/>
    <w:rsid w:val="009204F0"/>
    <w:rsid w:val="00921BCB"/>
    <w:rsid w:val="00922D6A"/>
    <w:rsid w:val="00924C24"/>
    <w:rsid w:val="0092543A"/>
    <w:rsid w:val="0092595F"/>
    <w:rsid w:val="00932F5A"/>
    <w:rsid w:val="00933B7D"/>
    <w:rsid w:val="00934514"/>
    <w:rsid w:val="00935734"/>
    <w:rsid w:val="00936366"/>
    <w:rsid w:val="00937AB6"/>
    <w:rsid w:val="00937CC5"/>
    <w:rsid w:val="00943A30"/>
    <w:rsid w:val="00944D2F"/>
    <w:rsid w:val="00945E4D"/>
    <w:rsid w:val="00950A5C"/>
    <w:rsid w:val="00951BD8"/>
    <w:rsid w:val="0095229A"/>
    <w:rsid w:val="009527DD"/>
    <w:rsid w:val="00952AC2"/>
    <w:rsid w:val="00953662"/>
    <w:rsid w:val="00954EA5"/>
    <w:rsid w:val="00956591"/>
    <w:rsid w:val="0096084F"/>
    <w:rsid w:val="00960AF8"/>
    <w:rsid w:val="00961361"/>
    <w:rsid w:val="00964668"/>
    <w:rsid w:val="009647C2"/>
    <w:rsid w:val="00966AB7"/>
    <w:rsid w:val="00971229"/>
    <w:rsid w:val="0097196C"/>
    <w:rsid w:val="00971ACA"/>
    <w:rsid w:val="0097239E"/>
    <w:rsid w:val="009729AD"/>
    <w:rsid w:val="00974F07"/>
    <w:rsid w:val="00975756"/>
    <w:rsid w:val="00976491"/>
    <w:rsid w:val="00977406"/>
    <w:rsid w:val="00980559"/>
    <w:rsid w:val="00982414"/>
    <w:rsid w:val="009824A6"/>
    <w:rsid w:val="00982AE2"/>
    <w:rsid w:val="00985340"/>
    <w:rsid w:val="00987310"/>
    <w:rsid w:val="00990A04"/>
    <w:rsid w:val="0099289F"/>
    <w:rsid w:val="00993740"/>
    <w:rsid w:val="00996AB2"/>
    <w:rsid w:val="00997C1E"/>
    <w:rsid w:val="009A1FBD"/>
    <w:rsid w:val="009A2190"/>
    <w:rsid w:val="009A2DF5"/>
    <w:rsid w:val="009A3F06"/>
    <w:rsid w:val="009A5072"/>
    <w:rsid w:val="009A5928"/>
    <w:rsid w:val="009A5E5B"/>
    <w:rsid w:val="009A609B"/>
    <w:rsid w:val="009A72AC"/>
    <w:rsid w:val="009A7459"/>
    <w:rsid w:val="009A7556"/>
    <w:rsid w:val="009B0200"/>
    <w:rsid w:val="009B025D"/>
    <w:rsid w:val="009B1A4C"/>
    <w:rsid w:val="009B1CBD"/>
    <w:rsid w:val="009B246A"/>
    <w:rsid w:val="009B2ABB"/>
    <w:rsid w:val="009B514C"/>
    <w:rsid w:val="009B5241"/>
    <w:rsid w:val="009B6FBC"/>
    <w:rsid w:val="009C1D62"/>
    <w:rsid w:val="009C53C9"/>
    <w:rsid w:val="009C54E0"/>
    <w:rsid w:val="009C58FB"/>
    <w:rsid w:val="009C7513"/>
    <w:rsid w:val="009D04B1"/>
    <w:rsid w:val="009D1D55"/>
    <w:rsid w:val="009D26EF"/>
    <w:rsid w:val="009D276C"/>
    <w:rsid w:val="009D2BD9"/>
    <w:rsid w:val="009D358C"/>
    <w:rsid w:val="009D479D"/>
    <w:rsid w:val="009D48AC"/>
    <w:rsid w:val="009D537E"/>
    <w:rsid w:val="009D61BE"/>
    <w:rsid w:val="009D69F2"/>
    <w:rsid w:val="009D7578"/>
    <w:rsid w:val="009D7949"/>
    <w:rsid w:val="009E34B9"/>
    <w:rsid w:val="009E372A"/>
    <w:rsid w:val="009E6633"/>
    <w:rsid w:val="009F113C"/>
    <w:rsid w:val="009F219F"/>
    <w:rsid w:val="009F2ED4"/>
    <w:rsid w:val="009F47B4"/>
    <w:rsid w:val="009F4E19"/>
    <w:rsid w:val="009F64BF"/>
    <w:rsid w:val="00A002D1"/>
    <w:rsid w:val="00A00CFA"/>
    <w:rsid w:val="00A01328"/>
    <w:rsid w:val="00A02336"/>
    <w:rsid w:val="00A02A60"/>
    <w:rsid w:val="00A03830"/>
    <w:rsid w:val="00A06876"/>
    <w:rsid w:val="00A072D7"/>
    <w:rsid w:val="00A10B38"/>
    <w:rsid w:val="00A115BF"/>
    <w:rsid w:val="00A11D37"/>
    <w:rsid w:val="00A16E23"/>
    <w:rsid w:val="00A1740B"/>
    <w:rsid w:val="00A211BE"/>
    <w:rsid w:val="00A22081"/>
    <w:rsid w:val="00A22239"/>
    <w:rsid w:val="00A23422"/>
    <w:rsid w:val="00A26266"/>
    <w:rsid w:val="00A27911"/>
    <w:rsid w:val="00A32626"/>
    <w:rsid w:val="00A32A46"/>
    <w:rsid w:val="00A33C53"/>
    <w:rsid w:val="00A355E7"/>
    <w:rsid w:val="00A356D3"/>
    <w:rsid w:val="00A35AD8"/>
    <w:rsid w:val="00A415B1"/>
    <w:rsid w:val="00A425B0"/>
    <w:rsid w:val="00A44925"/>
    <w:rsid w:val="00A45131"/>
    <w:rsid w:val="00A466C2"/>
    <w:rsid w:val="00A47E01"/>
    <w:rsid w:val="00A51108"/>
    <w:rsid w:val="00A512B5"/>
    <w:rsid w:val="00A531C9"/>
    <w:rsid w:val="00A53492"/>
    <w:rsid w:val="00A61286"/>
    <w:rsid w:val="00A61797"/>
    <w:rsid w:val="00A631D2"/>
    <w:rsid w:val="00A63505"/>
    <w:rsid w:val="00A64B19"/>
    <w:rsid w:val="00A652BE"/>
    <w:rsid w:val="00A67505"/>
    <w:rsid w:val="00A67AF2"/>
    <w:rsid w:val="00A67EB3"/>
    <w:rsid w:val="00A73B56"/>
    <w:rsid w:val="00A742C7"/>
    <w:rsid w:val="00A7451E"/>
    <w:rsid w:val="00A74625"/>
    <w:rsid w:val="00A76E30"/>
    <w:rsid w:val="00A77E01"/>
    <w:rsid w:val="00A815C3"/>
    <w:rsid w:val="00A829D8"/>
    <w:rsid w:val="00A83C3D"/>
    <w:rsid w:val="00A8486C"/>
    <w:rsid w:val="00A84A28"/>
    <w:rsid w:val="00A90D9D"/>
    <w:rsid w:val="00A93038"/>
    <w:rsid w:val="00A94A77"/>
    <w:rsid w:val="00A96E4F"/>
    <w:rsid w:val="00A97077"/>
    <w:rsid w:val="00AA1DA2"/>
    <w:rsid w:val="00AA2C11"/>
    <w:rsid w:val="00AA371E"/>
    <w:rsid w:val="00AA3954"/>
    <w:rsid w:val="00AA3A33"/>
    <w:rsid w:val="00AA6D88"/>
    <w:rsid w:val="00AA7B1E"/>
    <w:rsid w:val="00AB1D60"/>
    <w:rsid w:val="00AB4404"/>
    <w:rsid w:val="00AB558C"/>
    <w:rsid w:val="00AB634D"/>
    <w:rsid w:val="00AB6444"/>
    <w:rsid w:val="00AB6A7C"/>
    <w:rsid w:val="00AB6ED9"/>
    <w:rsid w:val="00AB79C2"/>
    <w:rsid w:val="00AC6596"/>
    <w:rsid w:val="00AC6688"/>
    <w:rsid w:val="00AC6826"/>
    <w:rsid w:val="00AC71D3"/>
    <w:rsid w:val="00AD09EC"/>
    <w:rsid w:val="00AD0B7F"/>
    <w:rsid w:val="00AD1BEC"/>
    <w:rsid w:val="00AD5B36"/>
    <w:rsid w:val="00AD6726"/>
    <w:rsid w:val="00AE09B4"/>
    <w:rsid w:val="00AE20E6"/>
    <w:rsid w:val="00AE2E7B"/>
    <w:rsid w:val="00AE2EB7"/>
    <w:rsid w:val="00AE435A"/>
    <w:rsid w:val="00AE65F2"/>
    <w:rsid w:val="00AE6722"/>
    <w:rsid w:val="00AE6DCA"/>
    <w:rsid w:val="00AE6F94"/>
    <w:rsid w:val="00AE7CA3"/>
    <w:rsid w:val="00AF09AA"/>
    <w:rsid w:val="00AF53E5"/>
    <w:rsid w:val="00B0153D"/>
    <w:rsid w:val="00B0173A"/>
    <w:rsid w:val="00B01C7B"/>
    <w:rsid w:val="00B039F8"/>
    <w:rsid w:val="00B03BBA"/>
    <w:rsid w:val="00B0679A"/>
    <w:rsid w:val="00B06B7C"/>
    <w:rsid w:val="00B10159"/>
    <w:rsid w:val="00B12770"/>
    <w:rsid w:val="00B12959"/>
    <w:rsid w:val="00B12DE7"/>
    <w:rsid w:val="00B16015"/>
    <w:rsid w:val="00B2089A"/>
    <w:rsid w:val="00B21553"/>
    <w:rsid w:val="00B24208"/>
    <w:rsid w:val="00B24FA1"/>
    <w:rsid w:val="00B25A25"/>
    <w:rsid w:val="00B26292"/>
    <w:rsid w:val="00B265AD"/>
    <w:rsid w:val="00B265BD"/>
    <w:rsid w:val="00B26B35"/>
    <w:rsid w:val="00B304CA"/>
    <w:rsid w:val="00B30C19"/>
    <w:rsid w:val="00B31CF4"/>
    <w:rsid w:val="00B328F8"/>
    <w:rsid w:val="00B33204"/>
    <w:rsid w:val="00B3341D"/>
    <w:rsid w:val="00B33DCD"/>
    <w:rsid w:val="00B342B5"/>
    <w:rsid w:val="00B35158"/>
    <w:rsid w:val="00B356FB"/>
    <w:rsid w:val="00B35718"/>
    <w:rsid w:val="00B36C21"/>
    <w:rsid w:val="00B40932"/>
    <w:rsid w:val="00B4096E"/>
    <w:rsid w:val="00B43ABD"/>
    <w:rsid w:val="00B440FE"/>
    <w:rsid w:val="00B4455A"/>
    <w:rsid w:val="00B461FB"/>
    <w:rsid w:val="00B469FF"/>
    <w:rsid w:val="00B5059D"/>
    <w:rsid w:val="00B50E77"/>
    <w:rsid w:val="00B51464"/>
    <w:rsid w:val="00B52C97"/>
    <w:rsid w:val="00B5306E"/>
    <w:rsid w:val="00B55497"/>
    <w:rsid w:val="00B601C1"/>
    <w:rsid w:val="00B61907"/>
    <w:rsid w:val="00B621DA"/>
    <w:rsid w:val="00B628B5"/>
    <w:rsid w:val="00B63AB4"/>
    <w:rsid w:val="00B65D8C"/>
    <w:rsid w:val="00B7029A"/>
    <w:rsid w:val="00B70442"/>
    <w:rsid w:val="00B71313"/>
    <w:rsid w:val="00B71481"/>
    <w:rsid w:val="00B71CA3"/>
    <w:rsid w:val="00B7338E"/>
    <w:rsid w:val="00B742A0"/>
    <w:rsid w:val="00B74317"/>
    <w:rsid w:val="00B74F08"/>
    <w:rsid w:val="00B75DF3"/>
    <w:rsid w:val="00B77A24"/>
    <w:rsid w:val="00B80558"/>
    <w:rsid w:val="00B81F7A"/>
    <w:rsid w:val="00B82D37"/>
    <w:rsid w:val="00B846B3"/>
    <w:rsid w:val="00B84C31"/>
    <w:rsid w:val="00B84DE6"/>
    <w:rsid w:val="00B8576A"/>
    <w:rsid w:val="00B869BD"/>
    <w:rsid w:val="00B919D7"/>
    <w:rsid w:val="00B9374C"/>
    <w:rsid w:val="00B948A7"/>
    <w:rsid w:val="00B96A3C"/>
    <w:rsid w:val="00B97289"/>
    <w:rsid w:val="00BA1545"/>
    <w:rsid w:val="00BA42FF"/>
    <w:rsid w:val="00BA5217"/>
    <w:rsid w:val="00BA5D46"/>
    <w:rsid w:val="00BA735B"/>
    <w:rsid w:val="00BB1006"/>
    <w:rsid w:val="00BB2282"/>
    <w:rsid w:val="00BB441D"/>
    <w:rsid w:val="00BB515F"/>
    <w:rsid w:val="00BB5A62"/>
    <w:rsid w:val="00BC001E"/>
    <w:rsid w:val="00BC37CB"/>
    <w:rsid w:val="00BC4280"/>
    <w:rsid w:val="00BC448D"/>
    <w:rsid w:val="00BC64E5"/>
    <w:rsid w:val="00BC6C4D"/>
    <w:rsid w:val="00BC77E8"/>
    <w:rsid w:val="00BD0588"/>
    <w:rsid w:val="00BD0A51"/>
    <w:rsid w:val="00BD2257"/>
    <w:rsid w:val="00BD25AD"/>
    <w:rsid w:val="00BD43BF"/>
    <w:rsid w:val="00BD5357"/>
    <w:rsid w:val="00BD5776"/>
    <w:rsid w:val="00BD5FA1"/>
    <w:rsid w:val="00BD697D"/>
    <w:rsid w:val="00BD6D8C"/>
    <w:rsid w:val="00BE19BC"/>
    <w:rsid w:val="00BE349C"/>
    <w:rsid w:val="00BE41E1"/>
    <w:rsid w:val="00BE46B9"/>
    <w:rsid w:val="00BE6031"/>
    <w:rsid w:val="00BE6373"/>
    <w:rsid w:val="00BE6C53"/>
    <w:rsid w:val="00BE6D8D"/>
    <w:rsid w:val="00BE6DC9"/>
    <w:rsid w:val="00BE7735"/>
    <w:rsid w:val="00BE796D"/>
    <w:rsid w:val="00BF0AC4"/>
    <w:rsid w:val="00BF1CF4"/>
    <w:rsid w:val="00BF23A7"/>
    <w:rsid w:val="00BF255C"/>
    <w:rsid w:val="00BF2700"/>
    <w:rsid w:val="00BF289C"/>
    <w:rsid w:val="00BF41D1"/>
    <w:rsid w:val="00BF5102"/>
    <w:rsid w:val="00BF6D64"/>
    <w:rsid w:val="00BF6FB4"/>
    <w:rsid w:val="00BF7199"/>
    <w:rsid w:val="00C04890"/>
    <w:rsid w:val="00C04D60"/>
    <w:rsid w:val="00C05CBD"/>
    <w:rsid w:val="00C06991"/>
    <w:rsid w:val="00C06CF5"/>
    <w:rsid w:val="00C0779D"/>
    <w:rsid w:val="00C10B5E"/>
    <w:rsid w:val="00C11908"/>
    <w:rsid w:val="00C121F4"/>
    <w:rsid w:val="00C14EBE"/>
    <w:rsid w:val="00C16541"/>
    <w:rsid w:val="00C20487"/>
    <w:rsid w:val="00C23407"/>
    <w:rsid w:val="00C261B0"/>
    <w:rsid w:val="00C26D6B"/>
    <w:rsid w:val="00C275CF"/>
    <w:rsid w:val="00C27809"/>
    <w:rsid w:val="00C30DBC"/>
    <w:rsid w:val="00C30E0C"/>
    <w:rsid w:val="00C318EB"/>
    <w:rsid w:val="00C321D0"/>
    <w:rsid w:val="00C325E0"/>
    <w:rsid w:val="00C33FFE"/>
    <w:rsid w:val="00C36237"/>
    <w:rsid w:val="00C375B5"/>
    <w:rsid w:val="00C37C9E"/>
    <w:rsid w:val="00C40699"/>
    <w:rsid w:val="00C4089D"/>
    <w:rsid w:val="00C41A4F"/>
    <w:rsid w:val="00C4203A"/>
    <w:rsid w:val="00C44260"/>
    <w:rsid w:val="00C44D69"/>
    <w:rsid w:val="00C46EDD"/>
    <w:rsid w:val="00C46FE6"/>
    <w:rsid w:val="00C476A0"/>
    <w:rsid w:val="00C50472"/>
    <w:rsid w:val="00C50646"/>
    <w:rsid w:val="00C5081B"/>
    <w:rsid w:val="00C514FC"/>
    <w:rsid w:val="00C5227D"/>
    <w:rsid w:val="00C52C6E"/>
    <w:rsid w:val="00C53E69"/>
    <w:rsid w:val="00C545AA"/>
    <w:rsid w:val="00C55CF9"/>
    <w:rsid w:val="00C566B7"/>
    <w:rsid w:val="00C60040"/>
    <w:rsid w:val="00C60C09"/>
    <w:rsid w:val="00C60D46"/>
    <w:rsid w:val="00C61A23"/>
    <w:rsid w:val="00C632E3"/>
    <w:rsid w:val="00C6342B"/>
    <w:rsid w:val="00C6375F"/>
    <w:rsid w:val="00C642FD"/>
    <w:rsid w:val="00C65758"/>
    <w:rsid w:val="00C65C94"/>
    <w:rsid w:val="00C66F76"/>
    <w:rsid w:val="00C6794E"/>
    <w:rsid w:val="00C71C6C"/>
    <w:rsid w:val="00C72A44"/>
    <w:rsid w:val="00C76A65"/>
    <w:rsid w:val="00C80EE3"/>
    <w:rsid w:val="00C8594D"/>
    <w:rsid w:val="00C87CED"/>
    <w:rsid w:val="00C92C4D"/>
    <w:rsid w:val="00C95B9B"/>
    <w:rsid w:val="00C97997"/>
    <w:rsid w:val="00CA03F5"/>
    <w:rsid w:val="00CA270D"/>
    <w:rsid w:val="00CA29C7"/>
    <w:rsid w:val="00CA32EC"/>
    <w:rsid w:val="00CA5C7C"/>
    <w:rsid w:val="00CA65E4"/>
    <w:rsid w:val="00CA73CC"/>
    <w:rsid w:val="00CA7574"/>
    <w:rsid w:val="00CB67E6"/>
    <w:rsid w:val="00CB76DA"/>
    <w:rsid w:val="00CC0CED"/>
    <w:rsid w:val="00CC3458"/>
    <w:rsid w:val="00CC397C"/>
    <w:rsid w:val="00CC3A99"/>
    <w:rsid w:val="00CC61AF"/>
    <w:rsid w:val="00CD1211"/>
    <w:rsid w:val="00CD23D3"/>
    <w:rsid w:val="00CD2704"/>
    <w:rsid w:val="00CD2BAB"/>
    <w:rsid w:val="00CD4135"/>
    <w:rsid w:val="00CD46A2"/>
    <w:rsid w:val="00CD488F"/>
    <w:rsid w:val="00CD642A"/>
    <w:rsid w:val="00CD766C"/>
    <w:rsid w:val="00CE0179"/>
    <w:rsid w:val="00CE14F7"/>
    <w:rsid w:val="00CE2256"/>
    <w:rsid w:val="00CE32CE"/>
    <w:rsid w:val="00CE42B4"/>
    <w:rsid w:val="00CE4568"/>
    <w:rsid w:val="00CE4C0D"/>
    <w:rsid w:val="00CE641E"/>
    <w:rsid w:val="00CE77F1"/>
    <w:rsid w:val="00CF1C64"/>
    <w:rsid w:val="00CF3028"/>
    <w:rsid w:val="00CF3D97"/>
    <w:rsid w:val="00D003DC"/>
    <w:rsid w:val="00D00C4C"/>
    <w:rsid w:val="00D01CB2"/>
    <w:rsid w:val="00D06067"/>
    <w:rsid w:val="00D06FA5"/>
    <w:rsid w:val="00D1074B"/>
    <w:rsid w:val="00D10989"/>
    <w:rsid w:val="00D12815"/>
    <w:rsid w:val="00D13EFE"/>
    <w:rsid w:val="00D16ECB"/>
    <w:rsid w:val="00D220B3"/>
    <w:rsid w:val="00D22353"/>
    <w:rsid w:val="00D223BB"/>
    <w:rsid w:val="00D239BD"/>
    <w:rsid w:val="00D275A3"/>
    <w:rsid w:val="00D31239"/>
    <w:rsid w:val="00D32062"/>
    <w:rsid w:val="00D33182"/>
    <w:rsid w:val="00D3365F"/>
    <w:rsid w:val="00D34A38"/>
    <w:rsid w:val="00D363A3"/>
    <w:rsid w:val="00D3656F"/>
    <w:rsid w:val="00D3767F"/>
    <w:rsid w:val="00D37731"/>
    <w:rsid w:val="00D40DA2"/>
    <w:rsid w:val="00D419D2"/>
    <w:rsid w:val="00D44604"/>
    <w:rsid w:val="00D44859"/>
    <w:rsid w:val="00D45067"/>
    <w:rsid w:val="00D53543"/>
    <w:rsid w:val="00D56893"/>
    <w:rsid w:val="00D602C5"/>
    <w:rsid w:val="00D6049A"/>
    <w:rsid w:val="00D6216F"/>
    <w:rsid w:val="00D62D41"/>
    <w:rsid w:val="00D6500A"/>
    <w:rsid w:val="00D65196"/>
    <w:rsid w:val="00D656C7"/>
    <w:rsid w:val="00D66E33"/>
    <w:rsid w:val="00D678DB"/>
    <w:rsid w:val="00D70660"/>
    <w:rsid w:val="00D71DEF"/>
    <w:rsid w:val="00D724A0"/>
    <w:rsid w:val="00D7276D"/>
    <w:rsid w:val="00D747D1"/>
    <w:rsid w:val="00D74DE5"/>
    <w:rsid w:val="00D8033E"/>
    <w:rsid w:val="00D83AD1"/>
    <w:rsid w:val="00D8703D"/>
    <w:rsid w:val="00D90FA6"/>
    <w:rsid w:val="00D9152C"/>
    <w:rsid w:val="00D9302B"/>
    <w:rsid w:val="00D93716"/>
    <w:rsid w:val="00D938E6"/>
    <w:rsid w:val="00D93D78"/>
    <w:rsid w:val="00D94C56"/>
    <w:rsid w:val="00D96945"/>
    <w:rsid w:val="00DA0141"/>
    <w:rsid w:val="00DA0F87"/>
    <w:rsid w:val="00DA1D9D"/>
    <w:rsid w:val="00DA1E61"/>
    <w:rsid w:val="00DA3EE5"/>
    <w:rsid w:val="00DA4C28"/>
    <w:rsid w:val="00DA6F72"/>
    <w:rsid w:val="00DB005E"/>
    <w:rsid w:val="00DB3F4A"/>
    <w:rsid w:val="00DB41F0"/>
    <w:rsid w:val="00DB4CDF"/>
    <w:rsid w:val="00DC1524"/>
    <w:rsid w:val="00DC60BC"/>
    <w:rsid w:val="00DC6B00"/>
    <w:rsid w:val="00DC7D0D"/>
    <w:rsid w:val="00DD181D"/>
    <w:rsid w:val="00DD23A5"/>
    <w:rsid w:val="00DD250C"/>
    <w:rsid w:val="00DD37FD"/>
    <w:rsid w:val="00DD4A41"/>
    <w:rsid w:val="00DE1675"/>
    <w:rsid w:val="00DE16D5"/>
    <w:rsid w:val="00DE1777"/>
    <w:rsid w:val="00DE379C"/>
    <w:rsid w:val="00DE3982"/>
    <w:rsid w:val="00DE6487"/>
    <w:rsid w:val="00DF0C96"/>
    <w:rsid w:val="00DF142F"/>
    <w:rsid w:val="00DF2B3A"/>
    <w:rsid w:val="00DF3768"/>
    <w:rsid w:val="00DF397D"/>
    <w:rsid w:val="00DF7B5D"/>
    <w:rsid w:val="00E02641"/>
    <w:rsid w:val="00E0337B"/>
    <w:rsid w:val="00E05D1F"/>
    <w:rsid w:val="00E07D3F"/>
    <w:rsid w:val="00E12D36"/>
    <w:rsid w:val="00E133F1"/>
    <w:rsid w:val="00E1784D"/>
    <w:rsid w:val="00E21124"/>
    <w:rsid w:val="00E2208A"/>
    <w:rsid w:val="00E22EE8"/>
    <w:rsid w:val="00E23450"/>
    <w:rsid w:val="00E23D24"/>
    <w:rsid w:val="00E24238"/>
    <w:rsid w:val="00E24752"/>
    <w:rsid w:val="00E24EDC"/>
    <w:rsid w:val="00E254B3"/>
    <w:rsid w:val="00E25A1F"/>
    <w:rsid w:val="00E25A6B"/>
    <w:rsid w:val="00E25EB7"/>
    <w:rsid w:val="00E2752B"/>
    <w:rsid w:val="00E320DE"/>
    <w:rsid w:val="00E3244A"/>
    <w:rsid w:val="00E33C1B"/>
    <w:rsid w:val="00E345F8"/>
    <w:rsid w:val="00E35124"/>
    <w:rsid w:val="00E35FC7"/>
    <w:rsid w:val="00E361A2"/>
    <w:rsid w:val="00E36B0B"/>
    <w:rsid w:val="00E37AA2"/>
    <w:rsid w:val="00E37F77"/>
    <w:rsid w:val="00E40D67"/>
    <w:rsid w:val="00E4138B"/>
    <w:rsid w:val="00E41A75"/>
    <w:rsid w:val="00E43257"/>
    <w:rsid w:val="00E4363D"/>
    <w:rsid w:val="00E4398C"/>
    <w:rsid w:val="00E44554"/>
    <w:rsid w:val="00E4508D"/>
    <w:rsid w:val="00E47F90"/>
    <w:rsid w:val="00E50CCF"/>
    <w:rsid w:val="00E5147E"/>
    <w:rsid w:val="00E51F0F"/>
    <w:rsid w:val="00E5223C"/>
    <w:rsid w:val="00E52838"/>
    <w:rsid w:val="00E533DF"/>
    <w:rsid w:val="00E537EA"/>
    <w:rsid w:val="00E53D65"/>
    <w:rsid w:val="00E556B2"/>
    <w:rsid w:val="00E563FB"/>
    <w:rsid w:val="00E5677D"/>
    <w:rsid w:val="00E5727E"/>
    <w:rsid w:val="00E6177E"/>
    <w:rsid w:val="00E64AB4"/>
    <w:rsid w:val="00E64DBC"/>
    <w:rsid w:val="00E65BE0"/>
    <w:rsid w:val="00E664E1"/>
    <w:rsid w:val="00E72808"/>
    <w:rsid w:val="00E73D5C"/>
    <w:rsid w:val="00E74D57"/>
    <w:rsid w:val="00E76C7E"/>
    <w:rsid w:val="00E77278"/>
    <w:rsid w:val="00E8255F"/>
    <w:rsid w:val="00E829E8"/>
    <w:rsid w:val="00E82D8A"/>
    <w:rsid w:val="00E833EA"/>
    <w:rsid w:val="00E839BC"/>
    <w:rsid w:val="00E84004"/>
    <w:rsid w:val="00E86772"/>
    <w:rsid w:val="00E928DE"/>
    <w:rsid w:val="00E94465"/>
    <w:rsid w:val="00EA12E5"/>
    <w:rsid w:val="00EA2468"/>
    <w:rsid w:val="00EA32D1"/>
    <w:rsid w:val="00EA4DBE"/>
    <w:rsid w:val="00EA78F7"/>
    <w:rsid w:val="00EB1CAD"/>
    <w:rsid w:val="00EB568D"/>
    <w:rsid w:val="00EB792B"/>
    <w:rsid w:val="00EC46C7"/>
    <w:rsid w:val="00EC588F"/>
    <w:rsid w:val="00EC597F"/>
    <w:rsid w:val="00EC642D"/>
    <w:rsid w:val="00EC696E"/>
    <w:rsid w:val="00EC7FBB"/>
    <w:rsid w:val="00ED3797"/>
    <w:rsid w:val="00ED4E00"/>
    <w:rsid w:val="00EE0684"/>
    <w:rsid w:val="00EE085A"/>
    <w:rsid w:val="00EF0A5F"/>
    <w:rsid w:val="00EF14F3"/>
    <w:rsid w:val="00EF1850"/>
    <w:rsid w:val="00EF2F9B"/>
    <w:rsid w:val="00EF3B2F"/>
    <w:rsid w:val="00EF5253"/>
    <w:rsid w:val="00F01DA6"/>
    <w:rsid w:val="00F027D8"/>
    <w:rsid w:val="00F04363"/>
    <w:rsid w:val="00F059A7"/>
    <w:rsid w:val="00F10E85"/>
    <w:rsid w:val="00F11E75"/>
    <w:rsid w:val="00F11E89"/>
    <w:rsid w:val="00F12945"/>
    <w:rsid w:val="00F13153"/>
    <w:rsid w:val="00F13517"/>
    <w:rsid w:val="00F135C7"/>
    <w:rsid w:val="00F1403B"/>
    <w:rsid w:val="00F1432B"/>
    <w:rsid w:val="00F15886"/>
    <w:rsid w:val="00F206B9"/>
    <w:rsid w:val="00F222BE"/>
    <w:rsid w:val="00F2317C"/>
    <w:rsid w:val="00F2411F"/>
    <w:rsid w:val="00F24A65"/>
    <w:rsid w:val="00F271F0"/>
    <w:rsid w:val="00F27FB5"/>
    <w:rsid w:val="00F30426"/>
    <w:rsid w:val="00F315BD"/>
    <w:rsid w:val="00F329DA"/>
    <w:rsid w:val="00F34F4E"/>
    <w:rsid w:val="00F37243"/>
    <w:rsid w:val="00F40E13"/>
    <w:rsid w:val="00F42095"/>
    <w:rsid w:val="00F42ACA"/>
    <w:rsid w:val="00F42BC9"/>
    <w:rsid w:val="00F4340F"/>
    <w:rsid w:val="00F44BE7"/>
    <w:rsid w:val="00F477D7"/>
    <w:rsid w:val="00F47C30"/>
    <w:rsid w:val="00F47F2D"/>
    <w:rsid w:val="00F5583D"/>
    <w:rsid w:val="00F60129"/>
    <w:rsid w:val="00F6140E"/>
    <w:rsid w:val="00F63C28"/>
    <w:rsid w:val="00F63CD7"/>
    <w:rsid w:val="00F650F5"/>
    <w:rsid w:val="00F6577D"/>
    <w:rsid w:val="00F7066F"/>
    <w:rsid w:val="00F72A80"/>
    <w:rsid w:val="00F72D7D"/>
    <w:rsid w:val="00F750D1"/>
    <w:rsid w:val="00F76632"/>
    <w:rsid w:val="00F770EB"/>
    <w:rsid w:val="00F772A3"/>
    <w:rsid w:val="00F8077E"/>
    <w:rsid w:val="00F80D59"/>
    <w:rsid w:val="00F81309"/>
    <w:rsid w:val="00F82DD2"/>
    <w:rsid w:val="00F83555"/>
    <w:rsid w:val="00F83604"/>
    <w:rsid w:val="00F8407D"/>
    <w:rsid w:val="00F84479"/>
    <w:rsid w:val="00F86564"/>
    <w:rsid w:val="00F90000"/>
    <w:rsid w:val="00F90811"/>
    <w:rsid w:val="00F93A3A"/>
    <w:rsid w:val="00F95ED9"/>
    <w:rsid w:val="00FA0BB6"/>
    <w:rsid w:val="00FA2D11"/>
    <w:rsid w:val="00FA2E57"/>
    <w:rsid w:val="00FA3410"/>
    <w:rsid w:val="00FA4450"/>
    <w:rsid w:val="00FA4493"/>
    <w:rsid w:val="00FA4AC7"/>
    <w:rsid w:val="00FA58BA"/>
    <w:rsid w:val="00FA68C3"/>
    <w:rsid w:val="00FA7165"/>
    <w:rsid w:val="00FB2932"/>
    <w:rsid w:val="00FC0343"/>
    <w:rsid w:val="00FC19C8"/>
    <w:rsid w:val="00FC1E57"/>
    <w:rsid w:val="00FC3728"/>
    <w:rsid w:val="00FC441D"/>
    <w:rsid w:val="00FC730E"/>
    <w:rsid w:val="00FC799F"/>
    <w:rsid w:val="00FC7C6E"/>
    <w:rsid w:val="00FD195D"/>
    <w:rsid w:val="00FD1C45"/>
    <w:rsid w:val="00FD2824"/>
    <w:rsid w:val="00FD304E"/>
    <w:rsid w:val="00FD3AF0"/>
    <w:rsid w:val="00FD6DCE"/>
    <w:rsid w:val="00FD7199"/>
    <w:rsid w:val="00FE0103"/>
    <w:rsid w:val="00FE1579"/>
    <w:rsid w:val="00FE5D95"/>
    <w:rsid w:val="00FE6886"/>
    <w:rsid w:val="00FE7C91"/>
    <w:rsid w:val="00FF0029"/>
    <w:rsid w:val="00FF0B9C"/>
    <w:rsid w:val="00FF0FAE"/>
    <w:rsid w:val="00FF1536"/>
    <w:rsid w:val="00FF29BB"/>
    <w:rsid w:val="00FF4F00"/>
    <w:rsid w:val="00FF6336"/>
    <w:rsid w:val="00FF6954"/>
    <w:rsid w:val="00FF6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F58A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545AA"/>
    <w:pPr>
      <w:spacing w:after="200" w:line="276" w:lineRule="auto"/>
    </w:pPr>
    <w:rPr>
      <w:sz w:val="22"/>
      <w:szCs w:val="22"/>
    </w:rPr>
  </w:style>
  <w:style w:type="paragraph" w:styleId="Heading1">
    <w:name w:val="heading 1"/>
    <w:basedOn w:val="Normal"/>
    <w:next w:val="Normal"/>
    <w:link w:val="Heading1Char"/>
    <w:uiPriority w:val="99"/>
    <w:qFormat/>
    <w:rsid w:val="006E058D"/>
    <w:pPr>
      <w:keepNext/>
      <w:keepLines/>
      <w:spacing w:before="480" w:after="0"/>
      <w:outlineLvl w:val="0"/>
    </w:pPr>
    <w:rPr>
      <w:rFonts w:eastAsia="Times New Roman" w:cs="Arial"/>
      <w:b/>
      <w:bCs/>
      <w:color w:val="365F91"/>
      <w:sz w:val="32"/>
      <w:szCs w:val="28"/>
    </w:rPr>
  </w:style>
  <w:style w:type="paragraph" w:styleId="Heading2">
    <w:name w:val="heading 2"/>
    <w:basedOn w:val="Normal"/>
    <w:next w:val="Normal"/>
    <w:link w:val="Heading2Char"/>
    <w:uiPriority w:val="99"/>
    <w:qFormat/>
    <w:rsid w:val="004F4154"/>
    <w:pPr>
      <w:keepNext/>
      <w:keepLines/>
      <w:spacing w:before="200" w:after="0"/>
      <w:outlineLvl w:val="1"/>
    </w:pPr>
    <w:rPr>
      <w:rFonts w:eastAsia="Times New Roman" w:cs="Arial"/>
      <w:b/>
      <w:bCs/>
      <w:color w:val="4F81BD"/>
      <w:sz w:val="28"/>
      <w:szCs w:val="26"/>
    </w:rPr>
  </w:style>
  <w:style w:type="paragraph" w:styleId="Heading3">
    <w:name w:val="heading 3"/>
    <w:basedOn w:val="Normal"/>
    <w:next w:val="Normal"/>
    <w:link w:val="Heading3Char"/>
    <w:uiPriority w:val="99"/>
    <w:qFormat/>
    <w:rsid w:val="00AE435A"/>
    <w:pPr>
      <w:keepNext/>
      <w:keepLines/>
      <w:spacing w:before="200" w:after="0"/>
      <w:outlineLvl w:val="2"/>
    </w:pPr>
    <w:rPr>
      <w:rFonts w:eastAsia="Times New Roman"/>
      <w:b/>
      <w:bCs/>
      <w:color w:val="4F81BD" w:themeColor="accent1"/>
      <w:sz w:val="24"/>
    </w:rPr>
  </w:style>
  <w:style w:type="paragraph" w:styleId="Heading4">
    <w:name w:val="heading 4"/>
    <w:basedOn w:val="Normal"/>
    <w:next w:val="Normal"/>
    <w:link w:val="Heading4Char"/>
    <w:uiPriority w:val="99"/>
    <w:qFormat/>
    <w:rsid w:val="006E058D"/>
    <w:pPr>
      <w:keepNext/>
      <w:keepLines/>
      <w:spacing w:before="200" w:after="0"/>
      <w:outlineLvl w:val="3"/>
    </w:pPr>
    <w:rPr>
      <w:rFonts w:eastAsia="Times New Roman"/>
      <w:b/>
      <w:bCs/>
      <w:i/>
      <w:iCs/>
      <w:color w:val="548DD4" w:themeColor="text2"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058D"/>
    <w:rPr>
      <w:rFonts w:eastAsia="Times New Roman" w:cs="Arial"/>
      <w:b/>
      <w:bCs/>
      <w:color w:val="365F91"/>
      <w:sz w:val="32"/>
      <w:szCs w:val="28"/>
    </w:rPr>
  </w:style>
  <w:style w:type="character" w:customStyle="1" w:styleId="Heading2Char">
    <w:name w:val="Heading 2 Char"/>
    <w:basedOn w:val="DefaultParagraphFont"/>
    <w:link w:val="Heading2"/>
    <w:uiPriority w:val="99"/>
    <w:locked/>
    <w:rsid w:val="004F4154"/>
    <w:rPr>
      <w:rFonts w:eastAsia="Times New Roman" w:cs="Arial"/>
      <w:b/>
      <w:bCs/>
      <w:color w:val="4F81BD"/>
      <w:sz w:val="28"/>
      <w:szCs w:val="26"/>
    </w:rPr>
  </w:style>
  <w:style w:type="character" w:customStyle="1" w:styleId="Heading3Char">
    <w:name w:val="Heading 3 Char"/>
    <w:basedOn w:val="DefaultParagraphFont"/>
    <w:link w:val="Heading3"/>
    <w:uiPriority w:val="99"/>
    <w:locked/>
    <w:rsid w:val="00AE435A"/>
    <w:rPr>
      <w:rFonts w:eastAsia="Times New Roman"/>
      <w:b/>
      <w:bCs/>
      <w:color w:val="4F81BD" w:themeColor="accent1"/>
      <w:sz w:val="24"/>
      <w:szCs w:val="22"/>
    </w:rPr>
  </w:style>
  <w:style w:type="character" w:customStyle="1" w:styleId="Heading4Char">
    <w:name w:val="Heading 4 Char"/>
    <w:basedOn w:val="DefaultParagraphFont"/>
    <w:link w:val="Heading4"/>
    <w:uiPriority w:val="99"/>
    <w:locked/>
    <w:rsid w:val="006E058D"/>
    <w:rPr>
      <w:rFonts w:eastAsia="Times New Roman"/>
      <w:b/>
      <w:bCs/>
      <w:i/>
      <w:iCs/>
      <w:color w:val="548DD4" w:themeColor="text2" w:themeTint="99"/>
      <w:sz w:val="22"/>
      <w:szCs w:val="22"/>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39"/>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paragraph" w:styleId="NoSpacing">
    <w:name w:val="No Spacing"/>
    <w:link w:val="NoSpacingChar"/>
    <w:uiPriority w:val="99"/>
    <w:qFormat/>
    <w:rsid w:val="00996AB2"/>
    <w:rPr>
      <w:rFonts w:ascii="Calibri" w:hAnsi="Calibri"/>
      <w:sz w:val="22"/>
      <w:szCs w:val="22"/>
    </w:rPr>
  </w:style>
  <w:style w:type="character" w:customStyle="1" w:styleId="NoSpacingChar">
    <w:name w:val="No Spacing Char"/>
    <w:basedOn w:val="DefaultParagraphFont"/>
    <w:link w:val="NoSpacing"/>
    <w:uiPriority w:val="99"/>
    <w:locked/>
    <w:rsid w:val="00996AB2"/>
    <w:rPr>
      <w:rFonts w:ascii="Calibri" w:hAnsi="Calibri"/>
      <w:sz w:val="22"/>
      <w:szCs w:val="22"/>
      <w:lang w:val="en-US" w:eastAsia="en-US" w:bidi="ar-SA"/>
    </w:rPr>
  </w:style>
  <w:style w:type="paragraph" w:styleId="TOC3">
    <w:name w:val="toc 3"/>
    <w:basedOn w:val="Normal"/>
    <w:next w:val="Normal"/>
    <w:autoRedefine/>
    <w:uiPriority w:val="39"/>
    <w:rsid w:val="00996AB2"/>
    <w:pPr>
      <w:spacing w:after="100"/>
      <w:ind w:left="440"/>
    </w:pPr>
  </w:style>
  <w:style w:type="paragraph" w:styleId="NormalWeb">
    <w:name w:val="Normal (Web)"/>
    <w:basedOn w:val="Normal"/>
    <w:uiPriority w:val="99"/>
    <w:semiHidden/>
    <w:rsid w:val="004A2762"/>
    <w:pPr>
      <w:spacing w:after="167" w:line="240" w:lineRule="auto"/>
    </w:pPr>
    <w:rPr>
      <w:rFonts w:ascii="Times New Roman" w:eastAsia="Times New Roman" w:hAnsi="Times New Roman"/>
      <w:sz w:val="24"/>
      <w:szCs w:val="24"/>
    </w:rPr>
  </w:style>
  <w:style w:type="character" w:styleId="Strong">
    <w:name w:val="Strong"/>
    <w:basedOn w:val="DefaultParagraphFont"/>
    <w:uiPriority w:val="99"/>
    <w:qFormat/>
    <w:rsid w:val="004A2762"/>
    <w:rPr>
      <w:rFonts w:cs="Times New Roman"/>
      <w:b/>
      <w:bCs/>
    </w:rPr>
  </w:style>
  <w:style w:type="paragraph" w:styleId="Revision">
    <w:name w:val="Revision"/>
    <w:hidden/>
    <w:uiPriority w:val="99"/>
    <w:semiHidden/>
    <w:rsid w:val="000F4E18"/>
    <w:rPr>
      <w:sz w:val="22"/>
      <w:szCs w:val="22"/>
    </w:rPr>
  </w:style>
  <w:style w:type="paragraph" w:styleId="Title">
    <w:name w:val="Title"/>
    <w:basedOn w:val="Normal"/>
    <w:next w:val="Normal"/>
    <w:link w:val="TitleChar"/>
    <w:qFormat/>
    <w:locked/>
    <w:rsid w:val="00EF2F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F2F9B"/>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9D27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276C"/>
  </w:style>
  <w:style w:type="character" w:styleId="FootnoteReference">
    <w:name w:val="footnote reference"/>
    <w:basedOn w:val="DefaultParagraphFont"/>
    <w:uiPriority w:val="99"/>
    <w:semiHidden/>
    <w:unhideWhenUsed/>
    <w:rsid w:val="009D276C"/>
    <w:rPr>
      <w:vertAlign w:val="superscript"/>
    </w:rPr>
  </w:style>
  <w:style w:type="character" w:styleId="IntenseEmphasis">
    <w:name w:val="Intense Emphasis"/>
    <w:basedOn w:val="DefaultParagraphFont"/>
    <w:uiPriority w:val="21"/>
    <w:qFormat/>
    <w:rsid w:val="00D93716"/>
    <w:rPr>
      <w:b/>
      <w:bCs/>
      <w:i/>
      <w:iCs/>
      <w:color w:val="4F81BD" w:themeColor="accent1"/>
    </w:rPr>
  </w:style>
  <w:style w:type="paragraph" w:styleId="Quote">
    <w:name w:val="Quote"/>
    <w:basedOn w:val="Normal"/>
    <w:next w:val="Normal"/>
    <w:link w:val="QuoteChar"/>
    <w:uiPriority w:val="29"/>
    <w:qFormat/>
    <w:rsid w:val="00807C19"/>
    <w:rPr>
      <w:i/>
      <w:iCs/>
      <w:color w:val="000000" w:themeColor="text1"/>
    </w:rPr>
  </w:style>
  <w:style w:type="character" w:customStyle="1" w:styleId="QuoteChar">
    <w:name w:val="Quote Char"/>
    <w:basedOn w:val="DefaultParagraphFont"/>
    <w:link w:val="Quote"/>
    <w:uiPriority w:val="29"/>
    <w:rsid w:val="00807C19"/>
    <w:rPr>
      <w:i/>
      <w:iCs/>
      <w:color w:val="000000" w:themeColor="text1"/>
      <w:sz w:val="22"/>
      <w:szCs w:val="22"/>
    </w:rPr>
  </w:style>
  <w:style w:type="paragraph" w:styleId="IntenseQuote">
    <w:name w:val="Intense Quote"/>
    <w:basedOn w:val="Normal"/>
    <w:next w:val="Normal"/>
    <w:link w:val="IntenseQuoteChar"/>
    <w:uiPriority w:val="30"/>
    <w:qFormat/>
    <w:rsid w:val="00952AC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52AC2"/>
    <w:rPr>
      <w:b/>
      <w:bCs/>
      <w:i/>
      <w:iCs/>
      <w:color w:val="4F81BD" w:themeColor="accent1"/>
      <w:sz w:val="22"/>
      <w:szCs w:val="22"/>
    </w:rPr>
  </w:style>
  <w:style w:type="table" w:styleId="LightShading-Accent2">
    <w:name w:val="Light Shading Accent 2"/>
    <w:basedOn w:val="TableNormal"/>
    <w:uiPriority w:val="60"/>
    <w:rsid w:val="006C08A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42615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D7276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2">
    <w:name w:val="Medium Grid 3 Accent 2"/>
    <w:basedOn w:val="TableNormal"/>
    <w:uiPriority w:val="69"/>
    <w:rsid w:val="0018488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Shading-Accent1">
    <w:name w:val="Light Shading Accent 1"/>
    <w:basedOn w:val="TableNormal"/>
    <w:uiPriority w:val="60"/>
    <w:rsid w:val="004925D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B46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545AA"/>
    <w:pPr>
      <w:spacing w:after="200" w:line="276" w:lineRule="auto"/>
    </w:pPr>
    <w:rPr>
      <w:sz w:val="22"/>
      <w:szCs w:val="22"/>
    </w:rPr>
  </w:style>
  <w:style w:type="paragraph" w:styleId="Heading1">
    <w:name w:val="heading 1"/>
    <w:basedOn w:val="Normal"/>
    <w:next w:val="Normal"/>
    <w:link w:val="Heading1Char"/>
    <w:uiPriority w:val="99"/>
    <w:qFormat/>
    <w:rsid w:val="006E058D"/>
    <w:pPr>
      <w:keepNext/>
      <w:keepLines/>
      <w:spacing w:before="480" w:after="0"/>
      <w:outlineLvl w:val="0"/>
    </w:pPr>
    <w:rPr>
      <w:rFonts w:eastAsia="Times New Roman" w:cs="Arial"/>
      <w:b/>
      <w:bCs/>
      <w:color w:val="365F91"/>
      <w:sz w:val="32"/>
      <w:szCs w:val="28"/>
    </w:rPr>
  </w:style>
  <w:style w:type="paragraph" w:styleId="Heading2">
    <w:name w:val="heading 2"/>
    <w:basedOn w:val="Normal"/>
    <w:next w:val="Normal"/>
    <w:link w:val="Heading2Char"/>
    <w:uiPriority w:val="99"/>
    <w:qFormat/>
    <w:rsid w:val="004F4154"/>
    <w:pPr>
      <w:keepNext/>
      <w:keepLines/>
      <w:spacing w:before="200" w:after="0"/>
      <w:outlineLvl w:val="1"/>
    </w:pPr>
    <w:rPr>
      <w:rFonts w:eastAsia="Times New Roman" w:cs="Arial"/>
      <w:b/>
      <w:bCs/>
      <w:color w:val="4F81BD"/>
      <w:sz w:val="28"/>
      <w:szCs w:val="26"/>
    </w:rPr>
  </w:style>
  <w:style w:type="paragraph" w:styleId="Heading3">
    <w:name w:val="heading 3"/>
    <w:basedOn w:val="Normal"/>
    <w:next w:val="Normal"/>
    <w:link w:val="Heading3Char"/>
    <w:uiPriority w:val="99"/>
    <w:qFormat/>
    <w:rsid w:val="00AE435A"/>
    <w:pPr>
      <w:keepNext/>
      <w:keepLines/>
      <w:spacing w:before="200" w:after="0"/>
      <w:outlineLvl w:val="2"/>
    </w:pPr>
    <w:rPr>
      <w:rFonts w:eastAsia="Times New Roman"/>
      <w:b/>
      <w:bCs/>
      <w:color w:val="4F81BD" w:themeColor="accent1"/>
      <w:sz w:val="24"/>
    </w:rPr>
  </w:style>
  <w:style w:type="paragraph" w:styleId="Heading4">
    <w:name w:val="heading 4"/>
    <w:basedOn w:val="Normal"/>
    <w:next w:val="Normal"/>
    <w:link w:val="Heading4Char"/>
    <w:uiPriority w:val="99"/>
    <w:qFormat/>
    <w:rsid w:val="006E058D"/>
    <w:pPr>
      <w:keepNext/>
      <w:keepLines/>
      <w:spacing w:before="200" w:after="0"/>
      <w:outlineLvl w:val="3"/>
    </w:pPr>
    <w:rPr>
      <w:rFonts w:eastAsia="Times New Roman"/>
      <w:b/>
      <w:bCs/>
      <w:i/>
      <w:iCs/>
      <w:color w:val="548DD4" w:themeColor="text2"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058D"/>
    <w:rPr>
      <w:rFonts w:eastAsia="Times New Roman" w:cs="Arial"/>
      <w:b/>
      <w:bCs/>
      <w:color w:val="365F91"/>
      <w:sz w:val="32"/>
      <w:szCs w:val="28"/>
    </w:rPr>
  </w:style>
  <w:style w:type="character" w:customStyle="1" w:styleId="Heading2Char">
    <w:name w:val="Heading 2 Char"/>
    <w:basedOn w:val="DefaultParagraphFont"/>
    <w:link w:val="Heading2"/>
    <w:uiPriority w:val="99"/>
    <w:locked/>
    <w:rsid w:val="004F4154"/>
    <w:rPr>
      <w:rFonts w:eastAsia="Times New Roman" w:cs="Arial"/>
      <w:b/>
      <w:bCs/>
      <w:color w:val="4F81BD"/>
      <w:sz w:val="28"/>
      <w:szCs w:val="26"/>
    </w:rPr>
  </w:style>
  <w:style w:type="character" w:customStyle="1" w:styleId="Heading3Char">
    <w:name w:val="Heading 3 Char"/>
    <w:basedOn w:val="DefaultParagraphFont"/>
    <w:link w:val="Heading3"/>
    <w:uiPriority w:val="99"/>
    <w:locked/>
    <w:rsid w:val="00AE435A"/>
    <w:rPr>
      <w:rFonts w:eastAsia="Times New Roman"/>
      <w:b/>
      <w:bCs/>
      <w:color w:val="4F81BD" w:themeColor="accent1"/>
      <w:sz w:val="24"/>
      <w:szCs w:val="22"/>
    </w:rPr>
  </w:style>
  <w:style w:type="character" w:customStyle="1" w:styleId="Heading4Char">
    <w:name w:val="Heading 4 Char"/>
    <w:basedOn w:val="DefaultParagraphFont"/>
    <w:link w:val="Heading4"/>
    <w:uiPriority w:val="99"/>
    <w:locked/>
    <w:rsid w:val="006E058D"/>
    <w:rPr>
      <w:rFonts w:eastAsia="Times New Roman"/>
      <w:b/>
      <w:bCs/>
      <w:i/>
      <w:iCs/>
      <w:color w:val="548DD4" w:themeColor="text2" w:themeTint="99"/>
      <w:sz w:val="22"/>
      <w:szCs w:val="22"/>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39"/>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paragraph" w:styleId="NoSpacing">
    <w:name w:val="No Spacing"/>
    <w:link w:val="NoSpacingChar"/>
    <w:uiPriority w:val="99"/>
    <w:qFormat/>
    <w:rsid w:val="00996AB2"/>
    <w:rPr>
      <w:rFonts w:ascii="Calibri" w:hAnsi="Calibri"/>
      <w:sz w:val="22"/>
      <w:szCs w:val="22"/>
    </w:rPr>
  </w:style>
  <w:style w:type="character" w:customStyle="1" w:styleId="NoSpacingChar">
    <w:name w:val="No Spacing Char"/>
    <w:basedOn w:val="DefaultParagraphFont"/>
    <w:link w:val="NoSpacing"/>
    <w:uiPriority w:val="99"/>
    <w:locked/>
    <w:rsid w:val="00996AB2"/>
    <w:rPr>
      <w:rFonts w:ascii="Calibri" w:hAnsi="Calibri"/>
      <w:sz w:val="22"/>
      <w:szCs w:val="22"/>
      <w:lang w:val="en-US" w:eastAsia="en-US" w:bidi="ar-SA"/>
    </w:rPr>
  </w:style>
  <w:style w:type="paragraph" w:styleId="TOC3">
    <w:name w:val="toc 3"/>
    <w:basedOn w:val="Normal"/>
    <w:next w:val="Normal"/>
    <w:autoRedefine/>
    <w:uiPriority w:val="39"/>
    <w:rsid w:val="00996AB2"/>
    <w:pPr>
      <w:spacing w:after="100"/>
      <w:ind w:left="440"/>
    </w:pPr>
  </w:style>
  <w:style w:type="paragraph" w:styleId="NormalWeb">
    <w:name w:val="Normal (Web)"/>
    <w:basedOn w:val="Normal"/>
    <w:uiPriority w:val="99"/>
    <w:semiHidden/>
    <w:rsid w:val="004A2762"/>
    <w:pPr>
      <w:spacing w:after="167" w:line="240" w:lineRule="auto"/>
    </w:pPr>
    <w:rPr>
      <w:rFonts w:ascii="Times New Roman" w:eastAsia="Times New Roman" w:hAnsi="Times New Roman"/>
      <w:sz w:val="24"/>
      <w:szCs w:val="24"/>
    </w:rPr>
  </w:style>
  <w:style w:type="character" w:styleId="Strong">
    <w:name w:val="Strong"/>
    <w:basedOn w:val="DefaultParagraphFont"/>
    <w:uiPriority w:val="99"/>
    <w:qFormat/>
    <w:rsid w:val="004A2762"/>
    <w:rPr>
      <w:rFonts w:cs="Times New Roman"/>
      <w:b/>
      <w:bCs/>
    </w:rPr>
  </w:style>
  <w:style w:type="paragraph" w:styleId="Revision">
    <w:name w:val="Revision"/>
    <w:hidden/>
    <w:uiPriority w:val="99"/>
    <w:semiHidden/>
    <w:rsid w:val="000F4E18"/>
    <w:rPr>
      <w:sz w:val="22"/>
      <w:szCs w:val="22"/>
    </w:rPr>
  </w:style>
  <w:style w:type="paragraph" w:styleId="Title">
    <w:name w:val="Title"/>
    <w:basedOn w:val="Normal"/>
    <w:next w:val="Normal"/>
    <w:link w:val="TitleChar"/>
    <w:qFormat/>
    <w:locked/>
    <w:rsid w:val="00EF2F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F2F9B"/>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9D27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276C"/>
  </w:style>
  <w:style w:type="character" w:styleId="FootnoteReference">
    <w:name w:val="footnote reference"/>
    <w:basedOn w:val="DefaultParagraphFont"/>
    <w:uiPriority w:val="99"/>
    <w:semiHidden/>
    <w:unhideWhenUsed/>
    <w:rsid w:val="009D276C"/>
    <w:rPr>
      <w:vertAlign w:val="superscript"/>
    </w:rPr>
  </w:style>
  <w:style w:type="character" w:styleId="IntenseEmphasis">
    <w:name w:val="Intense Emphasis"/>
    <w:basedOn w:val="DefaultParagraphFont"/>
    <w:uiPriority w:val="21"/>
    <w:qFormat/>
    <w:rsid w:val="00D93716"/>
    <w:rPr>
      <w:b/>
      <w:bCs/>
      <w:i/>
      <w:iCs/>
      <w:color w:val="4F81BD" w:themeColor="accent1"/>
    </w:rPr>
  </w:style>
  <w:style w:type="paragraph" w:styleId="Quote">
    <w:name w:val="Quote"/>
    <w:basedOn w:val="Normal"/>
    <w:next w:val="Normal"/>
    <w:link w:val="QuoteChar"/>
    <w:uiPriority w:val="29"/>
    <w:qFormat/>
    <w:rsid w:val="00807C19"/>
    <w:rPr>
      <w:i/>
      <w:iCs/>
      <w:color w:val="000000" w:themeColor="text1"/>
    </w:rPr>
  </w:style>
  <w:style w:type="character" w:customStyle="1" w:styleId="QuoteChar">
    <w:name w:val="Quote Char"/>
    <w:basedOn w:val="DefaultParagraphFont"/>
    <w:link w:val="Quote"/>
    <w:uiPriority w:val="29"/>
    <w:rsid w:val="00807C19"/>
    <w:rPr>
      <w:i/>
      <w:iCs/>
      <w:color w:val="000000" w:themeColor="text1"/>
      <w:sz w:val="22"/>
      <w:szCs w:val="22"/>
    </w:rPr>
  </w:style>
  <w:style w:type="paragraph" w:styleId="IntenseQuote">
    <w:name w:val="Intense Quote"/>
    <w:basedOn w:val="Normal"/>
    <w:next w:val="Normal"/>
    <w:link w:val="IntenseQuoteChar"/>
    <w:uiPriority w:val="30"/>
    <w:qFormat/>
    <w:rsid w:val="00952AC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52AC2"/>
    <w:rPr>
      <w:b/>
      <w:bCs/>
      <w:i/>
      <w:iCs/>
      <w:color w:val="4F81BD" w:themeColor="accent1"/>
      <w:sz w:val="22"/>
      <w:szCs w:val="22"/>
    </w:rPr>
  </w:style>
  <w:style w:type="table" w:styleId="LightShading-Accent2">
    <w:name w:val="Light Shading Accent 2"/>
    <w:basedOn w:val="TableNormal"/>
    <w:uiPriority w:val="60"/>
    <w:rsid w:val="006C08A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42615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D7276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2">
    <w:name w:val="Medium Grid 3 Accent 2"/>
    <w:basedOn w:val="TableNormal"/>
    <w:uiPriority w:val="69"/>
    <w:rsid w:val="0018488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Shading-Accent1">
    <w:name w:val="Light Shading Accent 1"/>
    <w:basedOn w:val="TableNormal"/>
    <w:uiPriority w:val="60"/>
    <w:rsid w:val="004925D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B46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821">
      <w:bodyDiv w:val="1"/>
      <w:marLeft w:val="0"/>
      <w:marRight w:val="0"/>
      <w:marTop w:val="0"/>
      <w:marBottom w:val="0"/>
      <w:divBdr>
        <w:top w:val="none" w:sz="0" w:space="0" w:color="auto"/>
        <w:left w:val="none" w:sz="0" w:space="0" w:color="auto"/>
        <w:bottom w:val="none" w:sz="0" w:space="0" w:color="auto"/>
        <w:right w:val="none" w:sz="0" w:space="0" w:color="auto"/>
      </w:divBdr>
    </w:div>
    <w:div w:id="79716669">
      <w:bodyDiv w:val="1"/>
      <w:marLeft w:val="0"/>
      <w:marRight w:val="0"/>
      <w:marTop w:val="0"/>
      <w:marBottom w:val="0"/>
      <w:divBdr>
        <w:top w:val="none" w:sz="0" w:space="0" w:color="auto"/>
        <w:left w:val="none" w:sz="0" w:space="0" w:color="auto"/>
        <w:bottom w:val="none" w:sz="0" w:space="0" w:color="auto"/>
        <w:right w:val="none" w:sz="0" w:space="0" w:color="auto"/>
      </w:divBdr>
    </w:div>
    <w:div w:id="146292273">
      <w:bodyDiv w:val="1"/>
      <w:marLeft w:val="0"/>
      <w:marRight w:val="0"/>
      <w:marTop w:val="0"/>
      <w:marBottom w:val="0"/>
      <w:divBdr>
        <w:top w:val="none" w:sz="0" w:space="0" w:color="auto"/>
        <w:left w:val="none" w:sz="0" w:space="0" w:color="auto"/>
        <w:bottom w:val="none" w:sz="0" w:space="0" w:color="auto"/>
        <w:right w:val="none" w:sz="0" w:space="0" w:color="auto"/>
      </w:divBdr>
    </w:div>
    <w:div w:id="211040325">
      <w:bodyDiv w:val="1"/>
      <w:marLeft w:val="0"/>
      <w:marRight w:val="0"/>
      <w:marTop w:val="0"/>
      <w:marBottom w:val="0"/>
      <w:divBdr>
        <w:top w:val="none" w:sz="0" w:space="0" w:color="auto"/>
        <w:left w:val="none" w:sz="0" w:space="0" w:color="auto"/>
        <w:bottom w:val="none" w:sz="0" w:space="0" w:color="auto"/>
        <w:right w:val="none" w:sz="0" w:space="0" w:color="auto"/>
      </w:divBdr>
    </w:div>
    <w:div w:id="314995073">
      <w:bodyDiv w:val="1"/>
      <w:marLeft w:val="0"/>
      <w:marRight w:val="0"/>
      <w:marTop w:val="0"/>
      <w:marBottom w:val="0"/>
      <w:divBdr>
        <w:top w:val="none" w:sz="0" w:space="0" w:color="auto"/>
        <w:left w:val="none" w:sz="0" w:space="0" w:color="auto"/>
        <w:bottom w:val="none" w:sz="0" w:space="0" w:color="auto"/>
        <w:right w:val="none" w:sz="0" w:space="0" w:color="auto"/>
      </w:divBdr>
    </w:div>
    <w:div w:id="371078163">
      <w:bodyDiv w:val="1"/>
      <w:marLeft w:val="0"/>
      <w:marRight w:val="0"/>
      <w:marTop w:val="0"/>
      <w:marBottom w:val="0"/>
      <w:divBdr>
        <w:top w:val="none" w:sz="0" w:space="0" w:color="auto"/>
        <w:left w:val="none" w:sz="0" w:space="0" w:color="auto"/>
        <w:bottom w:val="none" w:sz="0" w:space="0" w:color="auto"/>
        <w:right w:val="none" w:sz="0" w:space="0" w:color="auto"/>
      </w:divBdr>
    </w:div>
    <w:div w:id="379280201">
      <w:bodyDiv w:val="1"/>
      <w:marLeft w:val="0"/>
      <w:marRight w:val="0"/>
      <w:marTop w:val="0"/>
      <w:marBottom w:val="0"/>
      <w:divBdr>
        <w:top w:val="none" w:sz="0" w:space="0" w:color="auto"/>
        <w:left w:val="none" w:sz="0" w:space="0" w:color="auto"/>
        <w:bottom w:val="none" w:sz="0" w:space="0" w:color="auto"/>
        <w:right w:val="none" w:sz="0" w:space="0" w:color="auto"/>
      </w:divBdr>
    </w:div>
    <w:div w:id="380860147">
      <w:bodyDiv w:val="1"/>
      <w:marLeft w:val="0"/>
      <w:marRight w:val="0"/>
      <w:marTop w:val="0"/>
      <w:marBottom w:val="0"/>
      <w:divBdr>
        <w:top w:val="none" w:sz="0" w:space="0" w:color="auto"/>
        <w:left w:val="none" w:sz="0" w:space="0" w:color="auto"/>
        <w:bottom w:val="none" w:sz="0" w:space="0" w:color="auto"/>
        <w:right w:val="none" w:sz="0" w:space="0" w:color="auto"/>
      </w:divBdr>
    </w:div>
    <w:div w:id="416902593">
      <w:bodyDiv w:val="1"/>
      <w:marLeft w:val="0"/>
      <w:marRight w:val="0"/>
      <w:marTop w:val="0"/>
      <w:marBottom w:val="0"/>
      <w:divBdr>
        <w:top w:val="none" w:sz="0" w:space="0" w:color="auto"/>
        <w:left w:val="none" w:sz="0" w:space="0" w:color="auto"/>
        <w:bottom w:val="none" w:sz="0" w:space="0" w:color="auto"/>
        <w:right w:val="none" w:sz="0" w:space="0" w:color="auto"/>
      </w:divBdr>
    </w:div>
    <w:div w:id="431826901">
      <w:bodyDiv w:val="1"/>
      <w:marLeft w:val="0"/>
      <w:marRight w:val="0"/>
      <w:marTop w:val="0"/>
      <w:marBottom w:val="0"/>
      <w:divBdr>
        <w:top w:val="none" w:sz="0" w:space="0" w:color="auto"/>
        <w:left w:val="none" w:sz="0" w:space="0" w:color="auto"/>
        <w:bottom w:val="none" w:sz="0" w:space="0" w:color="auto"/>
        <w:right w:val="none" w:sz="0" w:space="0" w:color="auto"/>
      </w:divBdr>
    </w:div>
    <w:div w:id="465660237">
      <w:bodyDiv w:val="1"/>
      <w:marLeft w:val="0"/>
      <w:marRight w:val="0"/>
      <w:marTop w:val="0"/>
      <w:marBottom w:val="0"/>
      <w:divBdr>
        <w:top w:val="none" w:sz="0" w:space="0" w:color="auto"/>
        <w:left w:val="none" w:sz="0" w:space="0" w:color="auto"/>
        <w:bottom w:val="none" w:sz="0" w:space="0" w:color="auto"/>
        <w:right w:val="none" w:sz="0" w:space="0" w:color="auto"/>
      </w:divBdr>
    </w:div>
    <w:div w:id="528101423">
      <w:bodyDiv w:val="1"/>
      <w:marLeft w:val="0"/>
      <w:marRight w:val="0"/>
      <w:marTop w:val="0"/>
      <w:marBottom w:val="0"/>
      <w:divBdr>
        <w:top w:val="none" w:sz="0" w:space="0" w:color="auto"/>
        <w:left w:val="none" w:sz="0" w:space="0" w:color="auto"/>
        <w:bottom w:val="none" w:sz="0" w:space="0" w:color="auto"/>
        <w:right w:val="none" w:sz="0" w:space="0" w:color="auto"/>
      </w:divBdr>
    </w:div>
    <w:div w:id="541867865">
      <w:bodyDiv w:val="1"/>
      <w:marLeft w:val="0"/>
      <w:marRight w:val="0"/>
      <w:marTop w:val="0"/>
      <w:marBottom w:val="0"/>
      <w:divBdr>
        <w:top w:val="none" w:sz="0" w:space="0" w:color="auto"/>
        <w:left w:val="none" w:sz="0" w:space="0" w:color="auto"/>
        <w:bottom w:val="none" w:sz="0" w:space="0" w:color="auto"/>
        <w:right w:val="none" w:sz="0" w:space="0" w:color="auto"/>
      </w:divBdr>
    </w:div>
    <w:div w:id="542719522">
      <w:bodyDiv w:val="1"/>
      <w:marLeft w:val="0"/>
      <w:marRight w:val="0"/>
      <w:marTop w:val="0"/>
      <w:marBottom w:val="0"/>
      <w:divBdr>
        <w:top w:val="none" w:sz="0" w:space="0" w:color="auto"/>
        <w:left w:val="none" w:sz="0" w:space="0" w:color="auto"/>
        <w:bottom w:val="none" w:sz="0" w:space="0" w:color="auto"/>
        <w:right w:val="none" w:sz="0" w:space="0" w:color="auto"/>
      </w:divBdr>
    </w:div>
    <w:div w:id="553195556">
      <w:bodyDiv w:val="1"/>
      <w:marLeft w:val="0"/>
      <w:marRight w:val="0"/>
      <w:marTop w:val="0"/>
      <w:marBottom w:val="0"/>
      <w:divBdr>
        <w:top w:val="none" w:sz="0" w:space="0" w:color="auto"/>
        <w:left w:val="none" w:sz="0" w:space="0" w:color="auto"/>
        <w:bottom w:val="none" w:sz="0" w:space="0" w:color="auto"/>
        <w:right w:val="none" w:sz="0" w:space="0" w:color="auto"/>
      </w:divBdr>
    </w:div>
    <w:div w:id="617373282">
      <w:bodyDiv w:val="1"/>
      <w:marLeft w:val="0"/>
      <w:marRight w:val="0"/>
      <w:marTop w:val="0"/>
      <w:marBottom w:val="0"/>
      <w:divBdr>
        <w:top w:val="none" w:sz="0" w:space="0" w:color="auto"/>
        <w:left w:val="none" w:sz="0" w:space="0" w:color="auto"/>
        <w:bottom w:val="none" w:sz="0" w:space="0" w:color="auto"/>
        <w:right w:val="none" w:sz="0" w:space="0" w:color="auto"/>
      </w:divBdr>
    </w:div>
    <w:div w:id="632715293">
      <w:bodyDiv w:val="1"/>
      <w:marLeft w:val="0"/>
      <w:marRight w:val="0"/>
      <w:marTop w:val="0"/>
      <w:marBottom w:val="0"/>
      <w:divBdr>
        <w:top w:val="none" w:sz="0" w:space="0" w:color="auto"/>
        <w:left w:val="none" w:sz="0" w:space="0" w:color="auto"/>
        <w:bottom w:val="none" w:sz="0" w:space="0" w:color="auto"/>
        <w:right w:val="none" w:sz="0" w:space="0" w:color="auto"/>
      </w:divBdr>
    </w:div>
    <w:div w:id="650447813">
      <w:bodyDiv w:val="1"/>
      <w:marLeft w:val="0"/>
      <w:marRight w:val="0"/>
      <w:marTop w:val="0"/>
      <w:marBottom w:val="0"/>
      <w:divBdr>
        <w:top w:val="none" w:sz="0" w:space="0" w:color="auto"/>
        <w:left w:val="none" w:sz="0" w:space="0" w:color="auto"/>
        <w:bottom w:val="none" w:sz="0" w:space="0" w:color="auto"/>
        <w:right w:val="none" w:sz="0" w:space="0" w:color="auto"/>
      </w:divBdr>
    </w:div>
    <w:div w:id="663122493">
      <w:bodyDiv w:val="1"/>
      <w:marLeft w:val="0"/>
      <w:marRight w:val="0"/>
      <w:marTop w:val="0"/>
      <w:marBottom w:val="0"/>
      <w:divBdr>
        <w:top w:val="none" w:sz="0" w:space="0" w:color="auto"/>
        <w:left w:val="none" w:sz="0" w:space="0" w:color="auto"/>
        <w:bottom w:val="none" w:sz="0" w:space="0" w:color="auto"/>
        <w:right w:val="none" w:sz="0" w:space="0" w:color="auto"/>
      </w:divBdr>
    </w:div>
    <w:div w:id="781075478">
      <w:bodyDiv w:val="1"/>
      <w:marLeft w:val="0"/>
      <w:marRight w:val="0"/>
      <w:marTop w:val="0"/>
      <w:marBottom w:val="0"/>
      <w:divBdr>
        <w:top w:val="none" w:sz="0" w:space="0" w:color="auto"/>
        <w:left w:val="none" w:sz="0" w:space="0" w:color="auto"/>
        <w:bottom w:val="none" w:sz="0" w:space="0" w:color="auto"/>
        <w:right w:val="none" w:sz="0" w:space="0" w:color="auto"/>
      </w:divBdr>
    </w:div>
    <w:div w:id="785664218">
      <w:bodyDiv w:val="1"/>
      <w:marLeft w:val="0"/>
      <w:marRight w:val="0"/>
      <w:marTop w:val="0"/>
      <w:marBottom w:val="0"/>
      <w:divBdr>
        <w:top w:val="none" w:sz="0" w:space="0" w:color="auto"/>
        <w:left w:val="none" w:sz="0" w:space="0" w:color="auto"/>
        <w:bottom w:val="none" w:sz="0" w:space="0" w:color="auto"/>
        <w:right w:val="none" w:sz="0" w:space="0" w:color="auto"/>
      </w:divBdr>
    </w:div>
    <w:div w:id="868880493">
      <w:bodyDiv w:val="1"/>
      <w:marLeft w:val="0"/>
      <w:marRight w:val="0"/>
      <w:marTop w:val="0"/>
      <w:marBottom w:val="0"/>
      <w:divBdr>
        <w:top w:val="none" w:sz="0" w:space="0" w:color="auto"/>
        <w:left w:val="none" w:sz="0" w:space="0" w:color="auto"/>
        <w:bottom w:val="none" w:sz="0" w:space="0" w:color="auto"/>
        <w:right w:val="none" w:sz="0" w:space="0" w:color="auto"/>
      </w:divBdr>
    </w:div>
    <w:div w:id="1226837380">
      <w:bodyDiv w:val="1"/>
      <w:marLeft w:val="0"/>
      <w:marRight w:val="0"/>
      <w:marTop w:val="0"/>
      <w:marBottom w:val="0"/>
      <w:divBdr>
        <w:top w:val="none" w:sz="0" w:space="0" w:color="auto"/>
        <w:left w:val="none" w:sz="0" w:space="0" w:color="auto"/>
        <w:bottom w:val="none" w:sz="0" w:space="0" w:color="auto"/>
        <w:right w:val="none" w:sz="0" w:space="0" w:color="auto"/>
      </w:divBdr>
    </w:div>
    <w:div w:id="1273704682">
      <w:bodyDiv w:val="1"/>
      <w:marLeft w:val="0"/>
      <w:marRight w:val="0"/>
      <w:marTop w:val="0"/>
      <w:marBottom w:val="0"/>
      <w:divBdr>
        <w:top w:val="none" w:sz="0" w:space="0" w:color="auto"/>
        <w:left w:val="none" w:sz="0" w:space="0" w:color="auto"/>
        <w:bottom w:val="none" w:sz="0" w:space="0" w:color="auto"/>
        <w:right w:val="none" w:sz="0" w:space="0" w:color="auto"/>
      </w:divBdr>
    </w:div>
    <w:div w:id="1301497567">
      <w:bodyDiv w:val="1"/>
      <w:marLeft w:val="0"/>
      <w:marRight w:val="0"/>
      <w:marTop w:val="0"/>
      <w:marBottom w:val="0"/>
      <w:divBdr>
        <w:top w:val="none" w:sz="0" w:space="0" w:color="auto"/>
        <w:left w:val="none" w:sz="0" w:space="0" w:color="auto"/>
        <w:bottom w:val="none" w:sz="0" w:space="0" w:color="auto"/>
        <w:right w:val="none" w:sz="0" w:space="0" w:color="auto"/>
      </w:divBdr>
    </w:div>
    <w:div w:id="1354258720">
      <w:bodyDiv w:val="1"/>
      <w:marLeft w:val="0"/>
      <w:marRight w:val="0"/>
      <w:marTop w:val="0"/>
      <w:marBottom w:val="0"/>
      <w:divBdr>
        <w:top w:val="none" w:sz="0" w:space="0" w:color="auto"/>
        <w:left w:val="none" w:sz="0" w:space="0" w:color="auto"/>
        <w:bottom w:val="none" w:sz="0" w:space="0" w:color="auto"/>
        <w:right w:val="none" w:sz="0" w:space="0" w:color="auto"/>
      </w:divBdr>
    </w:div>
    <w:div w:id="1569146141">
      <w:bodyDiv w:val="1"/>
      <w:marLeft w:val="0"/>
      <w:marRight w:val="0"/>
      <w:marTop w:val="0"/>
      <w:marBottom w:val="0"/>
      <w:divBdr>
        <w:top w:val="none" w:sz="0" w:space="0" w:color="auto"/>
        <w:left w:val="none" w:sz="0" w:space="0" w:color="auto"/>
        <w:bottom w:val="none" w:sz="0" w:space="0" w:color="auto"/>
        <w:right w:val="none" w:sz="0" w:space="0" w:color="auto"/>
      </w:divBdr>
    </w:div>
    <w:div w:id="1631128868">
      <w:bodyDiv w:val="1"/>
      <w:marLeft w:val="0"/>
      <w:marRight w:val="0"/>
      <w:marTop w:val="0"/>
      <w:marBottom w:val="0"/>
      <w:divBdr>
        <w:top w:val="none" w:sz="0" w:space="0" w:color="auto"/>
        <w:left w:val="none" w:sz="0" w:space="0" w:color="auto"/>
        <w:bottom w:val="none" w:sz="0" w:space="0" w:color="auto"/>
        <w:right w:val="none" w:sz="0" w:space="0" w:color="auto"/>
      </w:divBdr>
    </w:div>
    <w:div w:id="1649285870">
      <w:bodyDiv w:val="1"/>
      <w:marLeft w:val="0"/>
      <w:marRight w:val="0"/>
      <w:marTop w:val="0"/>
      <w:marBottom w:val="0"/>
      <w:divBdr>
        <w:top w:val="none" w:sz="0" w:space="0" w:color="auto"/>
        <w:left w:val="none" w:sz="0" w:space="0" w:color="auto"/>
        <w:bottom w:val="none" w:sz="0" w:space="0" w:color="auto"/>
        <w:right w:val="none" w:sz="0" w:space="0" w:color="auto"/>
      </w:divBdr>
    </w:div>
    <w:div w:id="1722165614">
      <w:bodyDiv w:val="1"/>
      <w:marLeft w:val="0"/>
      <w:marRight w:val="0"/>
      <w:marTop w:val="0"/>
      <w:marBottom w:val="0"/>
      <w:divBdr>
        <w:top w:val="none" w:sz="0" w:space="0" w:color="auto"/>
        <w:left w:val="none" w:sz="0" w:space="0" w:color="auto"/>
        <w:bottom w:val="none" w:sz="0" w:space="0" w:color="auto"/>
        <w:right w:val="none" w:sz="0" w:space="0" w:color="auto"/>
      </w:divBdr>
    </w:div>
    <w:div w:id="1750301061">
      <w:bodyDiv w:val="1"/>
      <w:marLeft w:val="0"/>
      <w:marRight w:val="0"/>
      <w:marTop w:val="0"/>
      <w:marBottom w:val="0"/>
      <w:divBdr>
        <w:top w:val="none" w:sz="0" w:space="0" w:color="auto"/>
        <w:left w:val="none" w:sz="0" w:space="0" w:color="auto"/>
        <w:bottom w:val="none" w:sz="0" w:space="0" w:color="auto"/>
        <w:right w:val="none" w:sz="0" w:space="0" w:color="auto"/>
      </w:divBdr>
      <w:divsChild>
        <w:div w:id="1159035483">
          <w:marLeft w:val="619"/>
          <w:marRight w:val="0"/>
          <w:marTop w:val="134"/>
          <w:marBottom w:val="160"/>
          <w:divBdr>
            <w:top w:val="none" w:sz="0" w:space="0" w:color="auto"/>
            <w:left w:val="none" w:sz="0" w:space="0" w:color="auto"/>
            <w:bottom w:val="none" w:sz="0" w:space="0" w:color="auto"/>
            <w:right w:val="none" w:sz="0" w:space="0" w:color="auto"/>
          </w:divBdr>
        </w:div>
        <w:div w:id="391394017">
          <w:marLeft w:val="1267"/>
          <w:marRight w:val="0"/>
          <w:marTop w:val="115"/>
          <w:marBottom w:val="0"/>
          <w:divBdr>
            <w:top w:val="none" w:sz="0" w:space="0" w:color="auto"/>
            <w:left w:val="none" w:sz="0" w:space="0" w:color="auto"/>
            <w:bottom w:val="none" w:sz="0" w:space="0" w:color="auto"/>
            <w:right w:val="none" w:sz="0" w:space="0" w:color="auto"/>
          </w:divBdr>
        </w:div>
        <w:div w:id="187718386">
          <w:marLeft w:val="1267"/>
          <w:marRight w:val="0"/>
          <w:marTop w:val="115"/>
          <w:marBottom w:val="0"/>
          <w:divBdr>
            <w:top w:val="none" w:sz="0" w:space="0" w:color="auto"/>
            <w:left w:val="none" w:sz="0" w:space="0" w:color="auto"/>
            <w:bottom w:val="none" w:sz="0" w:space="0" w:color="auto"/>
            <w:right w:val="none" w:sz="0" w:space="0" w:color="auto"/>
          </w:divBdr>
        </w:div>
        <w:div w:id="621615478">
          <w:marLeft w:val="1267"/>
          <w:marRight w:val="0"/>
          <w:marTop w:val="115"/>
          <w:marBottom w:val="0"/>
          <w:divBdr>
            <w:top w:val="none" w:sz="0" w:space="0" w:color="auto"/>
            <w:left w:val="none" w:sz="0" w:space="0" w:color="auto"/>
            <w:bottom w:val="none" w:sz="0" w:space="0" w:color="auto"/>
            <w:right w:val="none" w:sz="0" w:space="0" w:color="auto"/>
          </w:divBdr>
        </w:div>
        <w:div w:id="1411737541">
          <w:marLeft w:val="1267"/>
          <w:marRight w:val="0"/>
          <w:marTop w:val="115"/>
          <w:marBottom w:val="0"/>
          <w:divBdr>
            <w:top w:val="none" w:sz="0" w:space="0" w:color="auto"/>
            <w:left w:val="none" w:sz="0" w:space="0" w:color="auto"/>
            <w:bottom w:val="none" w:sz="0" w:space="0" w:color="auto"/>
            <w:right w:val="none" w:sz="0" w:space="0" w:color="auto"/>
          </w:divBdr>
        </w:div>
        <w:div w:id="372539063">
          <w:marLeft w:val="1267"/>
          <w:marRight w:val="0"/>
          <w:marTop w:val="115"/>
          <w:marBottom w:val="0"/>
          <w:divBdr>
            <w:top w:val="none" w:sz="0" w:space="0" w:color="auto"/>
            <w:left w:val="none" w:sz="0" w:space="0" w:color="auto"/>
            <w:bottom w:val="none" w:sz="0" w:space="0" w:color="auto"/>
            <w:right w:val="none" w:sz="0" w:space="0" w:color="auto"/>
          </w:divBdr>
        </w:div>
        <w:div w:id="1838688573">
          <w:marLeft w:val="1267"/>
          <w:marRight w:val="0"/>
          <w:marTop w:val="115"/>
          <w:marBottom w:val="0"/>
          <w:divBdr>
            <w:top w:val="none" w:sz="0" w:space="0" w:color="auto"/>
            <w:left w:val="none" w:sz="0" w:space="0" w:color="auto"/>
            <w:bottom w:val="none" w:sz="0" w:space="0" w:color="auto"/>
            <w:right w:val="none" w:sz="0" w:space="0" w:color="auto"/>
          </w:divBdr>
        </w:div>
        <w:div w:id="736636527">
          <w:marLeft w:val="619"/>
          <w:marRight w:val="0"/>
          <w:marTop w:val="134"/>
          <w:marBottom w:val="160"/>
          <w:divBdr>
            <w:top w:val="none" w:sz="0" w:space="0" w:color="auto"/>
            <w:left w:val="none" w:sz="0" w:space="0" w:color="auto"/>
            <w:bottom w:val="none" w:sz="0" w:space="0" w:color="auto"/>
            <w:right w:val="none" w:sz="0" w:space="0" w:color="auto"/>
          </w:divBdr>
        </w:div>
        <w:div w:id="2088728800">
          <w:marLeft w:val="1267"/>
          <w:marRight w:val="0"/>
          <w:marTop w:val="115"/>
          <w:marBottom w:val="0"/>
          <w:divBdr>
            <w:top w:val="none" w:sz="0" w:space="0" w:color="auto"/>
            <w:left w:val="none" w:sz="0" w:space="0" w:color="auto"/>
            <w:bottom w:val="none" w:sz="0" w:space="0" w:color="auto"/>
            <w:right w:val="none" w:sz="0" w:space="0" w:color="auto"/>
          </w:divBdr>
        </w:div>
        <w:div w:id="1693994202">
          <w:marLeft w:val="1267"/>
          <w:marRight w:val="0"/>
          <w:marTop w:val="115"/>
          <w:marBottom w:val="0"/>
          <w:divBdr>
            <w:top w:val="none" w:sz="0" w:space="0" w:color="auto"/>
            <w:left w:val="none" w:sz="0" w:space="0" w:color="auto"/>
            <w:bottom w:val="none" w:sz="0" w:space="0" w:color="auto"/>
            <w:right w:val="none" w:sz="0" w:space="0" w:color="auto"/>
          </w:divBdr>
        </w:div>
        <w:div w:id="1982734230">
          <w:marLeft w:val="1267"/>
          <w:marRight w:val="0"/>
          <w:marTop w:val="115"/>
          <w:marBottom w:val="0"/>
          <w:divBdr>
            <w:top w:val="none" w:sz="0" w:space="0" w:color="auto"/>
            <w:left w:val="none" w:sz="0" w:space="0" w:color="auto"/>
            <w:bottom w:val="none" w:sz="0" w:space="0" w:color="auto"/>
            <w:right w:val="none" w:sz="0" w:space="0" w:color="auto"/>
          </w:divBdr>
        </w:div>
        <w:div w:id="1178041930">
          <w:marLeft w:val="1267"/>
          <w:marRight w:val="0"/>
          <w:marTop w:val="115"/>
          <w:marBottom w:val="0"/>
          <w:divBdr>
            <w:top w:val="none" w:sz="0" w:space="0" w:color="auto"/>
            <w:left w:val="none" w:sz="0" w:space="0" w:color="auto"/>
            <w:bottom w:val="none" w:sz="0" w:space="0" w:color="auto"/>
            <w:right w:val="none" w:sz="0" w:space="0" w:color="auto"/>
          </w:divBdr>
        </w:div>
        <w:div w:id="345249575">
          <w:marLeft w:val="1267"/>
          <w:marRight w:val="0"/>
          <w:marTop w:val="115"/>
          <w:marBottom w:val="0"/>
          <w:divBdr>
            <w:top w:val="none" w:sz="0" w:space="0" w:color="auto"/>
            <w:left w:val="none" w:sz="0" w:space="0" w:color="auto"/>
            <w:bottom w:val="none" w:sz="0" w:space="0" w:color="auto"/>
            <w:right w:val="none" w:sz="0" w:space="0" w:color="auto"/>
          </w:divBdr>
        </w:div>
        <w:div w:id="941884209">
          <w:marLeft w:val="1267"/>
          <w:marRight w:val="0"/>
          <w:marTop w:val="115"/>
          <w:marBottom w:val="0"/>
          <w:divBdr>
            <w:top w:val="none" w:sz="0" w:space="0" w:color="auto"/>
            <w:left w:val="none" w:sz="0" w:space="0" w:color="auto"/>
            <w:bottom w:val="none" w:sz="0" w:space="0" w:color="auto"/>
            <w:right w:val="none" w:sz="0" w:space="0" w:color="auto"/>
          </w:divBdr>
        </w:div>
      </w:divsChild>
    </w:div>
    <w:div w:id="1774859095">
      <w:bodyDiv w:val="1"/>
      <w:marLeft w:val="0"/>
      <w:marRight w:val="0"/>
      <w:marTop w:val="0"/>
      <w:marBottom w:val="0"/>
      <w:divBdr>
        <w:top w:val="none" w:sz="0" w:space="0" w:color="auto"/>
        <w:left w:val="none" w:sz="0" w:space="0" w:color="auto"/>
        <w:bottom w:val="none" w:sz="0" w:space="0" w:color="auto"/>
        <w:right w:val="none" w:sz="0" w:space="0" w:color="auto"/>
      </w:divBdr>
    </w:div>
    <w:div w:id="1814711103">
      <w:bodyDiv w:val="1"/>
      <w:marLeft w:val="0"/>
      <w:marRight w:val="0"/>
      <w:marTop w:val="0"/>
      <w:marBottom w:val="0"/>
      <w:divBdr>
        <w:top w:val="none" w:sz="0" w:space="0" w:color="auto"/>
        <w:left w:val="none" w:sz="0" w:space="0" w:color="auto"/>
        <w:bottom w:val="none" w:sz="0" w:space="0" w:color="auto"/>
        <w:right w:val="none" w:sz="0" w:space="0" w:color="auto"/>
      </w:divBdr>
    </w:div>
    <w:div w:id="1816336734">
      <w:bodyDiv w:val="1"/>
      <w:marLeft w:val="0"/>
      <w:marRight w:val="0"/>
      <w:marTop w:val="0"/>
      <w:marBottom w:val="0"/>
      <w:divBdr>
        <w:top w:val="none" w:sz="0" w:space="0" w:color="auto"/>
        <w:left w:val="none" w:sz="0" w:space="0" w:color="auto"/>
        <w:bottom w:val="none" w:sz="0" w:space="0" w:color="auto"/>
        <w:right w:val="none" w:sz="0" w:space="0" w:color="auto"/>
      </w:divBdr>
    </w:div>
    <w:div w:id="1993367905">
      <w:marLeft w:val="0"/>
      <w:marRight w:val="0"/>
      <w:marTop w:val="0"/>
      <w:marBottom w:val="0"/>
      <w:divBdr>
        <w:top w:val="none" w:sz="0" w:space="0" w:color="auto"/>
        <w:left w:val="none" w:sz="0" w:space="0" w:color="auto"/>
        <w:bottom w:val="none" w:sz="0" w:space="0" w:color="auto"/>
        <w:right w:val="none" w:sz="0" w:space="0" w:color="auto"/>
      </w:divBdr>
    </w:div>
    <w:div w:id="1993367911">
      <w:marLeft w:val="0"/>
      <w:marRight w:val="0"/>
      <w:marTop w:val="0"/>
      <w:marBottom w:val="0"/>
      <w:divBdr>
        <w:top w:val="none" w:sz="0" w:space="0" w:color="auto"/>
        <w:left w:val="none" w:sz="0" w:space="0" w:color="auto"/>
        <w:bottom w:val="none" w:sz="0" w:space="0" w:color="auto"/>
        <w:right w:val="none" w:sz="0" w:space="0" w:color="auto"/>
      </w:divBdr>
    </w:div>
    <w:div w:id="1993367915">
      <w:marLeft w:val="0"/>
      <w:marRight w:val="0"/>
      <w:marTop w:val="0"/>
      <w:marBottom w:val="0"/>
      <w:divBdr>
        <w:top w:val="none" w:sz="0" w:space="0" w:color="auto"/>
        <w:left w:val="none" w:sz="0" w:space="0" w:color="auto"/>
        <w:bottom w:val="none" w:sz="0" w:space="0" w:color="auto"/>
        <w:right w:val="none" w:sz="0" w:space="0" w:color="auto"/>
      </w:divBdr>
      <w:divsChild>
        <w:div w:id="1993367925">
          <w:marLeft w:val="0"/>
          <w:marRight w:val="0"/>
          <w:marTop w:val="0"/>
          <w:marBottom w:val="0"/>
          <w:divBdr>
            <w:top w:val="none" w:sz="0" w:space="0" w:color="auto"/>
            <w:left w:val="none" w:sz="0" w:space="0" w:color="auto"/>
            <w:bottom w:val="none" w:sz="0" w:space="0" w:color="auto"/>
            <w:right w:val="none" w:sz="0" w:space="0" w:color="auto"/>
          </w:divBdr>
          <w:divsChild>
            <w:div w:id="1993367967">
              <w:marLeft w:val="0"/>
              <w:marRight w:val="0"/>
              <w:marTop w:val="0"/>
              <w:marBottom w:val="0"/>
              <w:divBdr>
                <w:top w:val="none" w:sz="0" w:space="0" w:color="auto"/>
                <w:left w:val="none" w:sz="0" w:space="0" w:color="auto"/>
                <w:bottom w:val="none" w:sz="0" w:space="0" w:color="auto"/>
                <w:right w:val="none" w:sz="0" w:space="0" w:color="auto"/>
              </w:divBdr>
              <w:divsChild>
                <w:div w:id="1993367933">
                  <w:marLeft w:val="0"/>
                  <w:marRight w:val="0"/>
                  <w:marTop w:val="0"/>
                  <w:marBottom w:val="0"/>
                  <w:divBdr>
                    <w:top w:val="none" w:sz="0" w:space="0" w:color="auto"/>
                    <w:left w:val="none" w:sz="0" w:space="0" w:color="auto"/>
                    <w:bottom w:val="none" w:sz="0" w:space="0" w:color="auto"/>
                    <w:right w:val="none" w:sz="0" w:space="0" w:color="auto"/>
                  </w:divBdr>
                  <w:divsChild>
                    <w:div w:id="1993367951">
                      <w:marLeft w:val="0"/>
                      <w:marRight w:val="0"/>
                      <w:marTop w:val="0"/>
                      <w:marBottom w:val="0"/>
                      <w:divBdr>
                        <w:top w:val="none" w:sz="0" w:space="0" w:color="auto"/>
                        <w:left w:val="none" w:sz="0" w:space="0" w:color="auto"/>
                        <w:bottom w:val="none" w:sz="0" w:space="0" w:color="auto"/>
                        <w:right w:val="none" w:sz="0" w:space="0" w:color="auto"/>
                      </w:divBdr>
                      <w:divsChild>
                        <w:div w:id="1993367910">
                          <w:marLeft w:val="0"/>
                          <w:marRight w:val="0"/>
                          <w:marTop w:val="0"/>
                          <w:marBottom w:val="0"/>
                          <w:divBdr>
                            <w:top w:val="none" w:sz="0" w:space="0" w:color="auto"/>
                            <w:left w:val="none" w:sz="0" w:space="0" w:color="auto"/>
                            <w:bottom w:val="none" w:sz="0" w:space="0" w:color="auto"/>
                            <w:right w:val="none" w:sz="0" w:space="0" w:color="auto"/>
                          </w:divBdr>
                          <w:divsChild>
                            <w:div w:id="1993367961">
                              <w:marLeft w:val="0"/>
                              <w:marRight w:val="0"/>
                              <w:marTop w:val="0"/>
                              <w:marBottom w:val="0"/>
                              <w:divBdr>
                                <w:top w:val="none" w:sz="0" w:space="0" w:color="auto"/>
                                <w:left w:val="none" w:sz="0" w:space="0" w:color="auto"/>
                                <w:bottom w:val="none" w:sz="0" w:space="0" w:color="auto"/>
                                <w:right w:val="none" w:sz="0" w:space="0" w:color="auto"/>
                              </w:divBdr>
                              <w:divsChild>
                                <w:div w:id="1993367921">
                                  <w:marLeft w:val="0"/>
                                  <w:marRight w:val="0"/>
                                  <w:marTop w:val="0"/>
                                  <w:marBottom w:val="167"/>
                                  <w:divBdr>
                                    <w:top w:val="none" w:sz="0" w:space="0" w:color="auto"/>
                                    <w:left w:val="none" w:sz="0" w:space="0" w:color="auto"/>
                                    <w:bottom w:val="none" w:sz="0" w:space="0" w:color="auto"/>
                                    <w:right w:val="none" w:sz="0" w:space="0" w:color="auto"/>
                                  </w:divBdr>
                                </w:div>
                                <w:div w:id="1993367934">
                                  <w:marLeft w:val="0"/>
                                  <w:marRight w:val="0"/>
                                  <w:marTop w:val="0"/>
                                  <w:marBottom w:val="0"/>
                                  <w:divBdr>
                                    <w:top w:val="none" w:sz="0" w:space="0" w:color="auto"/>
                                    <w:left w:val="none" w:sz="0" w:space="0" w:color="auto"/>
                                    <w:bottom w:val="none" w:sz="0" w:space="0" w:color="auto"/>
                                    <w:right w:val="none" w:sz="0" w:space="0" w:color="auto"/>
                                  </w:divBdr>
                                  <w:divsChild>
                                    <w:div w:id="19933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367917">
      <w:marLeft w:val="0"/>
      <w:marRight w:val="0"/>
      <w:marTop w:val="0"/>
      <w:marBottom w:val="0"/>
      <w:divBdr>
        <w:top w:val="none" w:sz="0" w:space="0" w:color="auto"/>
        <w:left w:val="none" w:sz="0" w:space="0" w:color="auto"/>
        <w:bottom w:val="none" w:sz="0" w:space="0" w:color="auto"/>
        <w:right w:val="none" w:sz="0" w:space="0" w:color="auto"/>
      </w:divBdr>
      <w:divsChild>
        <w:div w:id="1993367930">
          <w:marLeft w:val="0"/>
          <w:marRight w:val="0"/>
          <w:marTop w:val="0"/>
          <w:marBottom w:val="0"/>
          <w:divBdr>
            <w:top w:val="none" w:sz="0" w:space="0" w:color="auto"/>
            <w:left w:val="none" w:sz="0" w:space="0" w:color="auto"/>
            <w:bottom w:val="none" w:sz="0" w:space="0" w:color="auto"/>
            <w:right w:val="none" w:sz="0" w:space="0" w:color="auto"/>
          </w:divBdr>
          <w:divsChild>
            <w:div w:id="1993367914">
              <w:marLeft w:val="0"/>
              <w:marRight w:val="0"/>
              <w:marTop w:val="0"/>
              <w:marBottom w:val="0"/>
              <w:divBdr>
                <w:top w:val="none" w:sz="0" w:space="0" w:color="auto"/>
                <w:left w:val="none" w:sz="0" w:space="0" w:color="auto"/>
                <w:bottom w:val="none" w:sz="0" w:space="0" w:color="auto"/>
                <w:right w:val="none" w:sz="0" w:space="0" w:color="auto"/>
              </w:divBdr>
              <w:divsChild>
                <w:div w:id="1993367906">
                  <w:marLeft w:val="0"/>
                  <w:marRight w:val="0"/>
                  <w:marTop w:val="0"/>
                  <w:marBottom w:val="0"/>
                  <w:divBdr>
                    <w:top w:val="none" w:sz="0" w:space="0" w:color="auto"/>
                    <w:left w:val="none" w:sz="0" w:space="0" w:color="auto"/>
                    <w:bottom w:val="none" w:sz="0" w:space="0" w:color="auto"/>
                    <w:right w:val="none" w:sz="0" w:space="0" w:color="auto"/>
                  </w:divBdr>
                  <w:divsChild>
                    <w:div w:id="1993367940">
                      <w:marLeft w:val="0"/>
                      <w:marRight w:val="0"/>
                      <w:marTop w:val="0"/>
                      <w:marBottom w:val="0"/>
                      <w:divBdr>
                        <w:top w:val="none" w:sz="0" w:space="0" w:color="auto"/>
                        <w:left w:val="none" w:sz="0" w:space="0" w:color="auto"/>
                        <w:bottom w:val="none" w:sz="0" w:space="0" w:color="auto"/>
                        <w:right w:val="none" w:sz="0" w:space="0" w:color="auto"/>
                      </w:divBdr>
                      <w:divsChild>
                        <w:div w:id="1993367962">
                          <w:marLeft w:val="0"/>
                          <w:marRight w:val="0"/>
                          <w:marTop w:val="0"/>
                          <w:marBottom w:val="0"/>
                          <w:divBdr>
                            <w:top w:val="none" w:sz="0" w:space="0" w:color="auto"/>
                            <w:left w:val="none" w:sz="0" w:space="0" w:color="auto"/>
                            <w:bottom w:val="none" w:sz="0" w:space="0" w:color="auto"/>
                            <w:right w:val="none" w:sz="0" w:space="0" w:color="auto"/>
                          </w:divBdr>
                          <w:divsChild>
                            <w:div w:id="1993367959">
                              <w:marLeft w:val="0"/>
                              <w:marRight w:val="0"/>
                              <w:marTop w:val="0"/>
                              <w:marBottom w:val="0"/>
                              <w:divBdr>
                                <w:top w:val="none" w:sz="0" w:space="0" w:color="auto"/>
                                <w:left w:val="none" w:sz="0" w:space="0" w:color="auto"/>
                                <w:bottom w:val="none" w:sz="0" w:space="0" w:color="auto"/>
                                <w:right w:val="none" w:sz="0" w:space="0" w:color="auto"/>
                              </w:divBdr>
                              <w:divsChild>
                                <w:div w:id="1993367964">
                                  <w:marLeft w:val="335"/>
                                  <w:marRight w:val="335"/>
                                  <w:marTop w:val="167"/>
                                  <w:marBottom w:val="167"/>
                                  <w:divBdr>
                                    <w:top w:val="none" w:sz="0" w:space="0" w:color="auto"/>
                                    <w:left w:val="none" w:sz="0" w:space="0" w:color="auto"/>
                                    <w:bottom w:val="none" w:sz="0" w:space="0" w:color="auto"/>
                                    <w:right w:val="none" w:sz="0" w:space="0" w:color="auto"/>
                                  </w:divBdr>
                                  <w:divsChild>
                                    <w:div w:id="19933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367924">
      <w:marLeft w:val="0"/>
      <w:marRight w:val="0"/>
      <w:marTop w:val="0"/>
      <w:marBottom w:val="0"/>
      <w:divBdr>
        <w:top w:val="none" w:sz="0" w:space="0" w:color="auto"/>
        <w:left w:val="none" w:sz="0" w:space="0" w:color="auto"/>
        <w:bottom w:val="none" w:sz="0" w:space="0" w:color="auto"/>
        <w:right w:val="none" w:sz="0" w:space="0" w:color="auto"/>
      </w:divBdr>
    </w:div>
    <w:div w:id="1993367937">
      <w:marLeft w:val="0"/>
      <w:marRight w:val="0"/>
      <w:marTop w:val="0"/>
      <w:marBottom w:val="0"/>
      <w:divBdr>
        <w:top w:val="none" w:sz="0" w:space="0" w:color="auto"/>
        <w:left w:val="none" w:sz="0" w:space="0" w:color="auto"/>
        <w:bottom w:val="none" w:sz="0" w:space="0" w:color="auto"/>
        <w:right w:val="none" w:sz="0" w:space="0" w:color="auto"/>
      </w:divBdr>
    </w:div>
    <w:div w:id="1993367948">
      <w:marLeft w:val="0"/>
      <w:marRight w:val="0"/>
      <w:marTop w:val="0"/>
      <w:marBottom w:val="0"/>
      <w:divBdr>
        <w:top w:val="none" w:sz="0" w:space="0" w:color="auto"/>
        <w:left w:val="none" w:sz="0" w:space="0" w:color="auto"/>
        <w:bottom w:val="none" w:sz="0" w:space="0" w:color="auto"/>
        <w:right w:val="none" w:sz="0" w:space="0" w:color="auto"/>
      </w:divBdr>
      <w:divsChild>
        <w:div w:id="1993367969">
          <w:marLeft w:val="0"/>
          <w:marRight w:val="0"/>
          <w:marTop w:val="0"/>
          <w:marBottom w:val="0"/>
          <w:divBdr>
            <w:top w:val="none" w:sz="0" w:space="0" w:color="auto"/>
            <w:left w:val="none" w:sz="0" w:space="0" w:color="auto"/>
            <w:bottom w:val="none" w:sz="0" w:space="0" w:color="auto"/>
            <w:right w:val="none" w:sz="0" w:space="0" w:color="auto"/>
          </w:divBdr>
          <w:divsChild>
            <w:div w:id="1993367970">
              <w:marLeft w:val="0"/>
              <w:marRight w:val="0"/>
              <w:marTop w:val="0"/>
              <w:marBottom w:val="0"/>
              <w:divBdr>
                <w:top w:val="none" w:sz="0" w:space="0" w:color="auto"/>
                <w:left w:val="none" w:sz="0" w:space="0" w:color="auto"/>
                <w:bottom w:val="none" w:sz="0" w:space="0" w:color="auto"/>
                <w:right w:val="none" w:sz="0" w:space="0" w:color="auto"/>
              </w:divBdr>
              <w:divsChild>
                <w:div w:id="1993367908">
                  <w:marLeft w:val="0"/>
                  <w:marRight w:val="0"/>
                  <w:marTop w:val="0"/>
                  <w:marBottom w:val="0"/>
                  <w:divBdr>
                    <w:top w:val="none" w:sz="0" w:space="0" w:color="auto"/>
                    <w:left w:val="none" w:sz="0" w:space="0" w:color="auto"/>
                    <w:bottom w:val="none" w:sz="0" w:space="0" w:color="auto"/>
                    <w:right w:val="none" w:sz="0" w:space="0" w:color="auto"/>
                  </w:divBdr>
                  <w:divsChild>
                    <w:div w:id="1993367941">
                      <w:marLeft w:val="0"/>
                      <w:marRight w:val="0"/>
                      <w:marTop w:val="0"/>
                      <w:marBottom w:val="0"/>
                      <w:divBdr>
                        <w:top w:val="none" w:sz="0" w:space="0" w:color="auto"/>
                        <w:left w:val="none" w:sz="0" w:space="0" w:color="auto"/>
                        <w:bottom w:val="none" w:sz="0" w:space="0" w:color="auto"/>
                        <w:right w:val="none" w:sz="0" w:space="0" w:color="auto"/>
                      </w:divBdr>
                      <w:divsChild>
                        <w:div w:id="1993367904">
                          <w:marLeft w:val="0"/>
                          <w:marRight w:val="0"/>
                          <w:marTop w:val="0"/>
                          <w:marBottom w:val="0"/>
                          <w:divBdr>
                            <w:top w:val="none" w:sz="0" w:space="0" w:color="auto"/>
                            <w:left w:val="none" w:sz="0" w:space="0" w:color="auto"/>
                            <w:bottom w:val="none" w:sz="0" w:space="0" w:color="auto"/>
                            <w:right w:val="none" w:sz="0" w:space="0" w:color="auto"/>
                          </w:divBdr>
                          <w:divsChild>
                            <w:div w:id="1993367920">
                              <w:marLeft w:val="0"/>
                              <w:marRight w:val="0"/>
                              <w:marTop w:val="0"/>
                              <w:marBottom w:val="0"/>
                              <w:divBdr>
                                <w:top w:val="none" w:sz="0" w:space="0" w:color="auto"/>
                                <w:left w:val="none" w:sz="0" w:space="0" w:color="auto"/>
                                <w:bottom w:val="none" w:sz="0" w:space="0" w:color="auto"/>
                                <w:right w:val="none" w:sz="0" w:space="0" w:color="auto"/>
                              </w:divBdr>
                              <w:divsChild>
                                <w:div w:id="1993367922">
                                  <w:marLeft w:val="335"/>
                                  <w:marRight w:val="335"/>
                                  <w:marTop w:val="167"/>
                                  <w:marBottom w:val="167"/>
                                  <w:divBdr>
                                    <w:top w:val="none" w:sz="0" w:space="0" w:color="auto"/>
                                    <w:left w:val="none" w:sz="0" w:space="0" w:color="auto"/>
                                    <w:bottom w:val="none" w:sz="0" w:space="0" w:color="auto"/>
                                    <w:right w:val="none" w:sz="0" w:space="0" w:color="auto"/>
                                  </w:divBdr>
                                  <w:divsChild>
                                    <w:div w:id="19933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367955">
      <w:marLeft w:val="0"/>
      <w:marRight w:val="0"/>
      <w:marTop w:val="0"/>
      <w:marBottom w:val="0"/>
      <w:divBdr>
        <w:top w:val="none" w:sz="0" w:space="0" w:color="auto"/>
        <w:left w:val="none" w:sz="0" w:space="0" w:color="auto"/>
        <w:bottom w:val="none" w:sz="0" w:space="0" w:color="auto"/>
        <w:right w:val="none" w:sz="0" w:space="0" w:color="auto"/>
      </w:divBdr>
    </w:div>
    <w:div w:id="1993367963">
      <w:marLeft w:val="0"/>
      <w:marRight w:val="0"/>
      <w:marTop w:val="0"/>
      <w:marBottom w:val="0"/>
      <w:divBdr>
        <w:top w:val="none" w:sz="0" w:space="0" w:color="auto"/>
        <w:left w:val="none" w:sz="0" w:space="0" w:color="auto"/>
        <w:bottom w:val="none" w:sz="0" w:space="0" w:color="auto"/>
        <w:right w:val="none" w:sz="0" w:space="0" w:color="auto"/>
      </w:divBdr>
      <w:divsChild>
        <w:div w:id="1993367923">
          <w:marLeft w:val="0"/>
          <w:marRight w:val="0"/>
          <w:marTop w:val="0"/>
          <w:marBottom w:val="0"/>
          <w:divBdr>
            <w:top w:val="none" w:sz="0" w:space="0" w:color="auto"/>
            <w:left w:val="none" w:sz="0" w:space="0" w:color="auto"/>
            <w:bottom w:val="none" w:sz="0" w:space="0" w:color="auto"/>
            <w:right w:val="none" w:sz="0" w:space="0" w:color="auto"/>
          </w:divBdr>
          <w:divsChild>
            <w:div w:id="1993367939">
              <w:marLeft w:val="0"/>
              <w:marRight w:val="0"/>
              <w:marTop w:val="0"/>
              <w:marBottom w:val="0"/>
              <w:divBdr>
                <w:top w:val="none" w:sz="0" w:space="0" w:color="auto"/>
                <w:left w:val="none" w:sz="0" w:space="0" w:color="auto"/>
                <w:bottom w:val="none" w:sz="0" w:space="0" w:color="auto"/>
                <w:right w:val="none" w:sz="0" w:space="0" w:color="auto"/>
              </w:divBdr>
              <w:divsChild>
                <w:div w:id="1993367947">
                  <w:marLeft w:val="0"/>
                  <w:marRight w:val="0"/>
                  <w:marTop w:val="0"/>
                  <w:marBottom w:val="0"/>
                  <w:divBdr>
                    <w:top w:val="none" w:sz="0" w:space="0" w:color="auto"/>
                    <w:left w:val="none" w:sz="0" w:space="0" w:color="auto"/>
                    <w:bottom w:val="none" w:sz="0" w:space="0" w:color="auto"/>
                    <w:right w:val="none" w:sz="0" w:space="0" w:color="auto"/>
                  </w:divBdr>
                  <w:divsChild>
                    <w:div w:id="1993367942">
                      <w:marLeft w:val="0"/>
                      <w:marRight w:val="0"/>
                      <w:marTop w:val="0"/>
                      <w:marBottom w:val="0"/>
                      <w:divBdr>
                        <w:top w:val="none" w:sz="0" w:space="0" w:color="auto"/>
                        <w:left w:val="none" w:sz="0" w:space="0" w:color="auto"/>
                        <w:bottom w:val="none" w:sz="0" w:space="0" w:color="auto"/>
                        <w:right w:val="none" w:sz="0" w:space="0" w:color="auto"/>
                      </w:divBdr>
                      <w:divsChild>
                        <w:div w:id="1993367932">
                          <w:marLeft w:val="0"/>
                          <w:marRight w:val="0"/>
                          <w:marTop w:val="0"/>
                          <w:marBottom w:val="0"/>
                          <w:divBdr>
                            <w:top w:val="none" w:sz="0" w:space="0" w:color="auto"/>
                            <w:left w:val="none" w:sz="0" w:space="0" w:color="auto"/>
                            <w:bottom w:val="none" w:sz="0" w:space="0" w:color="auto"/>
                            <w:right w:val="none" w:sz="0" w:space="0" w:color="auto"/>
                          </w:divBdr>
                          <w:divsChild>
                            <w:div w:id="1993367952">
                              <w:marLeft w:val="0"/>
                              <w:marRight w:val="0"/>
                              <w:marTop w:val="0"/>
                              <w:marBottom w:val="0"/>
                              <w:divBdr>
                                <w:top w:val="none" w:sz="0" w:space="0" w:color="auto"/>
                                <w:left w:val="none" w:sz="0" w:space="0" w:color="auto"/>
                                <w:bottom w:val="none" w:sz="0" w:space="0" w:color="auto"/>
                                <w:right w:val="none" w:sz="0" w:space="0" w:color="auto"/>
                              </w:divBdr>
                              <w:divsChild>
                                <w:div w:id="1993367929">
                                  <w:marLeft w:val="0"/>
                                  <w:marRight w:val="0"/>
                                  <w:marTop w:val="0"/>
                                  <w:marBottom w:val="167"/>
                                  <w:divBdr>
                                    <w:top w:val="none" w:sz="0" w:space="0" w:color="auto"/>
                                    <w:left w:val="none" w:sz="0" w:space="0" w:color="auto"/>
                                    <w:bottom w:val="none" w:sz="0" w:space="0" w:color="auto"/>
                                    <w:right w:val="none" w:sz="0" w:space="0" w:color="auto"/>
                                  </w:divBdr>
                                </w:div>
                                <w:div w:id="1993367938">
                                  <w:marLeft w:val="0"/>
                                  <w:marRight w:val="0"/>
                                  <w:marTop w:val="0"/>
                                  <w:marBottom w:val="0"/>
                                  <w:divBdr>
                                    <w:top w:val="none" w:sz="0" w:space="0" w:color="auto"/>
                                    <w:left w:val="none" w:sz="0" w:space="0" w:color="auto"/>
                                    <w:bottom w:val="none" w:sz="0" w:space="0" w:color="auto"/>
                                    <w:right w:val="none" w:sz="0" w:space="0" w:color="auto"/>
                                  </w:divBdr>
                                  <w:divsChild>
                                    <w:div w:id="19933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367965">
      <w:marLeft w:val="0"/>
      <w:marRight w:val="0"/>
      <w:marTop w:val="0"/>
      <w:marBottom w:val="0"/>
      <w:divBdr>
        <w:top w:val="none" w:sz="0" w:space="0" w:color="auto"/>
        <w:left w:val="none" w:sz="0" w:space="0" w:color="auto"/>
        <w:bottom w:val="none" w:sz="0" w:space="0" w:color="auto"/>
        <w:right w:val="none" w:sz="0" w:space="0" w:color="auto"/>
      </w:divBdr>
      <w:divsChild>
        <w:div w:id="1993367935">
          <w:marLeft w:val="0"/>
          <w:marRight w:val="0"/>
          <w:marTop w:val="0"/>
          <w:marBottom w:val="0"/>
          <w:divBdr>
            <w:top w:val="none" w:sz="0" w:space="0" w:color="auto"/>
            <w:left w:val="none" w:sz="0" w:space="0" w:color="auto"/>
            <w:bottom w:val="none" w:sz="0" w:space="0" w:color="auto"/>
            <w:right w:val="none" w:sz="0" w:space="0" w:color="auto"/>
          </w:divBdr>
          <w:divsChild>
            <w:div w:id="1993367928">
              <w:marLeft w:val="0"/>
              <w:marRight w:val="0"/>
              <w:marTop w:val="0"/>
              <w:marBottom w:val="0"/>
              <w:divBdr>
                <w:top w:val="none" w:sz="0" w:space="0" w:color="auto"/>
                <w:left w:val="none" w:sz="0" w:space="0" w:color="auto"/>
                <w:bottom w:val="none" w:sz="0" w:space="0" w:color="auto"/>
                <w:right w:val="none" w:sz="0" w:space="0" w:color="auto"/>
              </w:divBdr>
              <w:divsChild>
                <w:div w:id="1993367936">
                  <w:marLeft w:val="0"/>
                  <w:marRight w:val="0"/>
                  <w:marTop w:val="0"/>
                  <w:marBottom w:val="0"/>
                  <w:divBdr>
                    <w:top w:val="none" w:sz="0" w:space="0" w:color="auto"/>
                    <w:left w:val="none" w:sz="0" w:space="0" w:color="auto"/>
                    <w:bottom w:val="none" w:sz="0" w:space="0" w:color="auto"/>
                    <w:right w:val="none" w:sz="0" w:space="0" w:color="auto"/>
                  </w:divBdr>
                  <w:divsChild>
                    <w:div w:id="1993367931">
                      <w:marLeft w:val="0"/>
                      <w:marRight w:val="0"/>
                      <w:marTop w:val="0"/>
                      <w:marBottom w:val="0"/>
                      <w:divBdr>
                        <w:top w:val="none" w:sz="0" w:space="0" w:color="auto"/>
                        <w:left w:val="none" w:sz="0" w:space="0" w:color="auto"/>
                        <w:bottom w:val="none" w:sz="0" w:space="0" w:color="auto"/>
                        <w:right w:val="none" w:sz="0" w:space="0" w:color="auto"/>
                      </w:divBdr>
                      <w:divsChild>
                        <w:div w:id="1993367957">
                          <w:marLeft w:val="0"/>
                          <w:marRight w:val="0"/>
                          <w:marTop w:val="0"/>
                          <w:marBottom w:val="0"/>
                          <w:divBdr>
                            <w:top w:val="none" w:sz="0" w:space="0" w:color="auto"/>
                            <w:left w:val="none" w:sz="0" w:space="0" w:color="auto"/>
                            <w:bottom w:val="none" w:sz="0" w:space="0" w:color="auto"/>
                            <w:right w:val="none" w:sz="0" w:space="0" w:color="auto"/>
                          </w:divBdr>
                          <w:divsChild>
                            <w:div w:id="1993367927">
                              <w:marLeft w:val="0"/>
                              <w:marRight w:val="0"/>
                              <w:marTop w:val="0"/>
                              <w:marBottom w:val="0"/>
                              <w:divBdr>
                                <w:top w:val="none" w:sz="0" w:space="0" w:color="auto"/>
                                <w:left w:val="none" w:sz="0" w:space="0" w:color="auto"/>
                                <w:bottom w:val="none" w:sz="0" w:space="0" w:color="auto"/>
                                <w:right w:val="none" w:sz="0" w:space="0" w:color="auto"/>
                              </w:divBdr>
                              <w:divsChild>
                                <w:div w:id="1993367950">
                                  <w:marLeft w:val="0"/>
                                  <w:marRight w:val="0"/>
                                  <w:marTop w:val="0"/>
                                  <w:marBottom w:val="0"/>
                                  <w:divBdr>
                                    <w:top w:val="none" w:sz="0" w:space="0" w:color="auto"/>
                                    <w:left w:val="none" w:sz="0" w:space="0" w:color="auto"/>
                                    <w:bottom w:val="none" w:sz="0" w:space="0" w:color="auto"/>
                                    <w:right w:val="none" w:sz="0" w:space="0" w:color="auto"/>
                                  </w:divBdr>
                                  <w:divsChild>
                                    <w:div w:id="1993367916">
                                      <w:marLeft w:val="0"/>
                                      <w:marRight w:val="0"/>
                                      <w:marTop w:val="0"/>
                                      <w:marBottom w:val="0"/>
                                      <w:divBdr>
                                        <w:top w:val="none" w:sz="0" w:space="0" w:color="auto"/>
                                        <w:left w:val="none" w:sz="0" w:space="0" w:color="auto"/>
                                        <w:bottom w:val="none" w:sz="0" w:space="0" w:color="auto"/>
                                        <w:right w:val="none" w:sz="0" w:space="0" w:color="auto"/>
                                      </w:divBdr>
                                      <w:divsChild>
                                        <w:div w:id="1993367968">
                                          <w:marLeft w:val="0"/>
                                          <w:marRight w:val="0"/>
                                          <w:marTop w:val="0"/>
                                          <w:marBottom w:val="0"/>
                                          <w:divBdr>
                                            <w:top w:val="none" w:sz="0" w:space="0" w:color="auto"/>
                                            <w:left w:val="none" w:sz="0" w:space="0" w:color="auto"/>
                                            <w:bottom w:val="none" w:sz="0" w:space="0" w:color="auto"/>
                                            <w:right w:val="none" w:sz="0" w:space="0" w:color="auto"/>
                                          </w:divBdr>
                                          <w:divsChild>
                                            <w:div w:id="1993367903">
                                              <w:marLeft w:val="0"/>
                                              <w:marRight w:val="0"/>
                                              <w:marTop w:val="0"/>
                                              <w:marBottom w:val="0"/>
                                              <w:divBdr>
                                                <w:top w:val="none" w:sz="0" w:space="0" w:color="auto"/>
                                                <w:left w:val="none" w:sz="0" w:space="0" w:color="auto"/>
                                                <w:bottom w:val="none" w:sz="0" w:space="0" w:color="auto"/>
                                                <w:right w:val="none" w:sz="0" w:space="0" w:color="auto"/>
                                              </w:divBdr>
                                              <w:divsChild>
                                                <w:div w:id="1993367912">
                                                  <w:marLeft w:val="0"/>
                                                  <w:marRight w:val="0"/>
                                                  <w:marTop w:val="0"/>
                                                  <w:marBottom w:val="0"/>
                                                  <w:divBdr>
                                                    <w:top w:val="none" w:sz="0" w:space="0" w:color="auto"/>
                                                    <w:left w:val="none" w:sz="0" w:space="0" w:color="auto"/>
                                                    <w:bottom w:val="none" w:sz="0" w:space="0" w:color="auto"/>
                                                    <w:right w:val="none" w:sz="0" w:space="0" w:color="auto"/>
                                                  </w:divBdr>
                                                </w:div>
                                              </w:divsChild>
                                            </w:div>
                                            <w:div w:id="19933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367971">
      <w:marLeft w:val="0"/>
      <w:marRight w:val="0"/>
      <w:marTop w:val="0"/>
      <w:marBottom w:val="0"/>
      <w:divBdr>
        <w:top w:val="none" w:sz="0" w:space="0" w:color="auto"/>
        <w:left w:val="none" w:sz="0" w:space="0" w:color="auto"/>
        <w:bottom w:val="none" w:sz="0" w:space="0" w:color="auto"/>
        <w:right w:val="none" w:sz="0" w:space="0" w:color="auto"/>
      </w:divBdr>
      <w:divsChild>
        <w:div w:id="1993367960">
          <w:marLeft w:val="0"/>
          <w:marRight w:val="0"/>
          <w:marTop w:val="0"/>
          <w:marBottom w:val="0"/>
          <w:divBdr>
            <w:top w:val="none" w:sz="0" w:space="0" w:color="auto"/>
            <w:left w:val="none" w:sz="0" w:space="0" w:color="auto"/>
            <w:bottom w:val="none" w:sz="0" w:space="0" w:color="auto"/>
            <w:right w:val="none" w:sz="0" w:space="0" w:color="auto"/>
          </w:divBdr>
          <w:divsChild>
            <w:div w:id="1993367946">
              <w:marLeft w:val="0"/>
              <w:marRight w:val="0"/>
              <w:marTop w:val="0"/>
              <w:marBottom w:val="0"/>
              <w:divBdr>
                <w:top w:val="none" w:sz="0" w:space="0" w:color="auto"/>
                <w:left w:val="none" w:sz="0" w:space="0" w:color="auto"/>
                <w:bottom w:val="none" w:sz="0" w:space="0" w:color="auto"/>
                <w:right w:val="none" w:sz="0" w:space="0" w:color="auto"/>
              </w:divBdr>
              <w:divsChild>
                <w:div w:id="1993367949">
                  <w:marLeft w:val="0"/>
                  <w:marRight w:val="0"/>
                  <w:marTop w:val="0"/>
                  <w:marBottom w:val="0"/>
                  <w:divBdr>
                    <w:top w:val="none" w:sz="0" w:space="0" w:color="auto"/>
                    <w:left w:val="none" w:sz="0" w:space="0" w:color="auto"/>
                    <w:bottom w:val="none" w:sz="0" w:space="0" w:color="auto"/>
                    <w:right w:val="none" w:sz="0" w:space="0" w:color="auto"/>
                  </w:divBdr>
                  <w:divsChild>
                    <w:div w:id="1993367954">
                      <w:marLeft w:val="0"/>
                      <w:marRight w:val="0"/>
                      <w:marTop w:val="0"/>
                      <w:marBottom w:val="0"/>
                      <w:divBdr>
                        <w:top w:val="none" w:sz="0" w:space="0" w:color="auto"/>
                        <w:left w:val="none" w:sz="0" w:space="0" w:color="auto"/>
                        <w:bottom w:val="none" w:sz="0" w:space="0" w:color="auto"/>
                        <w:right w:val="none" w:sz="0" w:space="0" w:color="auto"/>
                      </w:divBdr>
                      <w:divsChild>
                        <w:div w:id="1993367966">
                          <w:marLeft w:val="0"/>
                          <w:marRight w:val="0"/>
                          <w:marTop w:val="0"/>
                          <w:marBottom w:val="0"/>
                          <w:divBdr>
                            <w:top w:val="none" w:sz="0" w:space="0" w:color="auto"/>
                            <w:left w:val="none" w:sz="0" w:space="0" w:color="auto"/>
                            <w:bottom w:val="none" w:sz="0" w:space="0" w:color="auto"/>
                            <w:right w:val="none" w:sz="0" w:space="0" w:color="auto"/>
                          </w:divBdr>
                          <w:divsChild>
                            <w:div w:id="1993367958">
                              <w:marLeft w:val="0"/>
                              <w:marRight w:val="0"/>
                              <w:marTop w:val="0"/>
                              <w:marBottom w:val="0"/>
                              <w:divBdr>
                                <w:top w:val="none" w:sz="0" w:space="0" w:color="auto"/>
                                <w:left w:val="none" w:sz="0" w:space="0" w:color="auto"/>
                                <w:bottom w:val="none" w:sz="0" w:space="0" w:color="auto"/>
                                <w:right w:val="none" w:sz="0" w:space="0" w:color="auto"/>
                              </w:divBdr>
                              <w:divsChild>
                                <w:div w:id="1993367953">
                                  <w:marLeft w:val="0"/>
                                  <w:marRight w:val="0"/>
                                  <w:marTop w:val="0"/>
                                  <w:marBottom w:val="0"/>
                                  <w:divBdr>
                                    <w:top w:val="none" w:sz="0" w:space="0" w:color="auto"/>
                                    <w:left w:val="none" w:sz="0" w:space="0" w:color="auto"/>
                                    <w:bottom w:val="none" w:sz="0" w:space="0" w:color="auto"/>
                                    <w:right w:val="none" w:sz="0" w:space="0" w:color="auto"/>
                                  </w:divBdr>
                                  <w:divsChild>
                                    <w:div w:id="1993367945">
                                      <w:marLeft w:val="0"/>
                                      <w:marRight w:val="0"/>
                                      <w:marTop w:val="0"/>
                                      <w:marBottom w:val="0"/>
                                      <w:divBdr>
                                        <w:top w:val="none" w:sz="0" w:space="0" w:color="auto"/>
                                        <w:left w:val="none" w:sz="0" w:space="0" w:color="auto"/>
                                        <w:bottom w:val="none" w:sz="0" w:space="0" w:color="auto"/>
                                        <w:right w:val="none" w:sz="0" w:space="0" w:color="auto"/>
                                      </w:divBdr>
                                      <w:divsChild>
                                        <w:div w:id="1993367907">
                                          <w:marLeft w:val="0"/>
                                          <w:marRight w:val="0"/>
                                          <w:marTop w:val="0"/>
                                          <w:marBottom w:val="0"/>
                                          <w:divBdr>
                                            <w:top w:val="none" w:sz="0" w:space="0" w:color="auto"/>
                                            <w:left w:val="none" w:sz="0" w:space="0" w:color="auto"/>
                                            <w:bottom w:val="none" w:sz="0" w:space="0" w:color="auto"/>
                                            <w:right w:val="none" w:sz="0" w:space="0" w:color="auto"/>
                                          </w:divBdr>
                                          <w:divsChild>
                                            <w:div w:id="1993367943">
                                              <w:marLeft w:val="0"/>
                                              <w:marRight w:val="0"/>
                                              <w:marTop w:val="0"/>
                                              <w:marBottom w:val="0"/>
                                              <w:divBdr>
                                                <w:top w:val="none" w:sz="0" w:space="0" w:color="auto"/>
                                                <w:left w:val="none" w:sz="0" w:space="0" w:color="auto"/>
                                                <w:bottom w:val="none" w:sz="0" w:space="0" w:color="auto"/>
                                                <w:right w:val="none" w:sz="0" w:space="0" w:color="auto"/>
                                              </w:divBdr>
                                              <w:divsChild>
                                                <w:div w:id="1993367913">
                                                  <w:marLeft w:val="0"/>
                                                  <w:marRight w:val="0"/>
                                                  <w:marTop w:val="0"/>
                                                  <w:marBottom w:val="0"/>
                                                  <w:divBdr>
                                                    <w:top w:val="none" w:sz="0" w:space="0" w:color="auto"/>
                                                    <w:left w:val="none" w:sz="0" w:space="0" w:color="auto"/>
                                                    <w:bottom w:val="none" w:sz="0" w:space="0" w:color="auto"/>
                                                    <w:right w:val="none" w:sz="0" w:space="0" w:color="auto"/>
                                                  </w:divBdr>
                                                </w:div>
                                              </w:divsChild>
                                            </w:div>
                                            <w:div w:id="19933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21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sdn.microsoft.com/en-us/library/ms345368.aspx" TargetMode="External"/><Relationship Id="rId21" Type="http://schemas.openxmlformats.org/officeDocument/2006/relationships/hyperlink" Target="http://go.microsoft.com/fwlink/?LinkId=141863" TargetMode="External"/><Relationship Id="rId34" Type="http://schemas.openxmlformats.org/officeDocument/2006/relationships/image" Target="media/image6.png"/><Relationship Id="rId42" Type="http://schemas.openxmlformats.org/officeDocument/2006/relationships/hyperlink" Target="http://go.microsoft.com/fwlink/?LinkId=141863" TargetMode="External"/><Relationship Id="rId47" Type="http://schemas.openxmlformats.org/officeDocument/2006/relationships/hyperlink" Target="http://go.microsoft.com/fwlink/?LinkId=141868" TargetMode="External"/><Relationship Id="rId50" Type="http://schemas.openxmlformats.org/officeDocument/2006/relationships/hyperlink" Target="http://go.microsoft.com/fwlink/?LinkId=141873" TargetMode="External"/><Relationship Id="rId55" Type="http://schemas.openxmlformats.org/officeDocument/2006/relationships/hyperlink" Target="http://www.microsoft.com/sqlserver/en/us/solutions-technologies/data-warehousing/fast-track.aspx" TargetMode="External"/><Relationship Id="rId63" Type="http://schemas.openxmlformats.org/officeDocument/2006/relationships/footer" Target="footer1.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microsoft.com/sqlserver/en/us/solutions-technologies/data-warehousing/fast-track.aspx" TargetMode="External"/><Relationship Id="rId29" Type="http://schemas.openxmlformats.org/officeDocument/2006/relationships/hyperlink" Target="http://msdn.microsoft.com/en-us/library/dd425070.aspx" TargetMode="External"/><Relationship Id="rId11" Type="http://schemas.openxmlformats.org/officeDocument/2006/relationships/endnotes" Target="endnotes.xml"/><Relationship Id="rId24" Type="http://schemas.openxmlformats.org/officeDocument/2006/relationships/hyperlink" Target="http://msdn.microsoft.com/en-us/library/ee151608.aspx" TargetMode="External"/><Relationship Id="rId32" Type="http://schemas.openxmlformats.org/officeDocument/2006/relationships/hyperlink" Target="http://sqlcat.com/whitepapers/archive/2007/11/21/predeployment-i-o-best-practices.aspx" TargetMode="External"/><Relationship Id="rId37" Type="http://schemas.openxmlformats.org/officeDocument/2006/relationships/hyperlink" Target="http://msdn.microsoft.com/en-us/library/ms345368.aspx" TargetMode="External"/><Relationship Id="rId40" Type="http://schemas.openxmlformats.org/officeDocument/2006/relationships/hyperlink" Target="http://msdn.microsoft.com/en-us/sqlserver/" TargetMode="External"/><Relationship Id="rId45" Type="http://schemas.openxmlformats.org/officeDocument/2006/relationships/hyperlink" Target="http://go.microsoft.com/fwlink/?LinkId=141866" TargetMode="External"/><Relationship Id="rId53" Type="http://schemas.openxmlformats.org/officeDocument/2006/relationships/hyperlink" Target="http://sqlcat.com/whitepapers/archive/2009/05/29/data-compression-strategy-capacity-planning-and-best-practices.aspx" TargetMode="External"/><Relationship Id="rId58" Type="http://schemas.openxmlformats.org/officeDocument/2006/relationships/image" Target="media/image9.gif"/><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upport.microsoft.com/kb/976700" TargetMode="External"/><Relationship Id="rId14" Type="http://schemas.openxmlformats.org/officeDocument/2006/relationships/hyperlink" Target="http://download.microsoft.com/download/D/F/A/DFAAD98F-0F1B-4F8B-988F-22C3F94B08E0/Fast%20Track%20Core%20Calculator%20v1.2.xlsx" TargetMode="External"/><Relationship Id="rId22" Type="http://schemas.openxmlformats.org/officeDocument/2006/relationships/hyperlink" Target="http://support.microsoft.com/kb/920093" TargetMode="External"/><Relationship Id="rId27" Type="http://schemas.openxmlformats.org/officeDocument/2006/relationships/hyperlink" Target="http://download.microsoft.com/download/D/B/D/DBDE7972-1EB9-470A-BA18-58849DB3EB3B/PartTableAndIndexStrat.docx" TargetMode="External"/><Relationship Id="rId30" Type="http://schemas.openxmlformats.org/officeDocument/2006/relationships/hyperlink" Target="http://msdn.microsoft.com/en-us/library/dd425070.aspx" TargetMode="External"/><Relationship Id="rId35" Type="http://schemas.openxmlformats.org/officeDocument/2006/relationships/image" Target="media/image7.png"/><Relationship Id="rId43" Type="http://schemas.openxmlformats.org/officeDocument/2006/relationships/hyperlink" Target="http://go.microsoft.com/fwlink/?LinkId=141864" TargetMode="External"/><Relationship Id="rId48" Type="http://schemas.openxmlformats.org/officeDocument/2006/relationships/hyperlink" Target="http://go.microsoft.com/fwlink/?LinkId=141870" TargetMode="External"/><Relationship Id="rId56" Type="http://schemas.openxmlformats.org/officeDocument/2006/relationships/hyperlink" Target="file:///C:\Users\erickra\AppData\Local\Microsoft\Windows\Temporary%20Internet%20Files\Content.Outlook\7R2BNSR2\SQL%20Server%20Predeployment%20I\O%20Best%20Practices"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go.microsoft.com/fwlink/?LinkId=14187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port.microsoft.com/kb/982383" TargetMode="External"/><Relationship Id="rId25" Type="http://schemas.openxmlformats.org/officeDocument/2006/relationships/image" Target="media/image4.png"/><Relationship Id="rId33" Type="http://schemas.openxmlformats.org/officeDocument/2006/relationships/image" Target="media/image5.png"/><Relationship Id="rId38" Type="http://schemas.openxmlformats.org/officeDocument/2006/relationships/hyperlink" Target="http://www.microsoft.com/sqlserver/" TargetMode="External"/><Relationship Id="rId46" Type="http://schemas.openxmlformats.org/officeDocument/2006/relationships/hyperlink" Target="http://go.microsoft.com/fwlink/?LinkId=141867" TargetMode="External"/><Relationship Id="rId59" Type="http://schemas.openxmlformats.org/officeDocument/2006/relationships/image" Target="media/image10.gif"/><Relationship Id="rId67" Type="http://schemas.openxmlformats.org/officeDocument/2006/relationships/fontTable" Target="fontTable.xml"/><Relationship Id="rId20" Type="http://schemas.openxmlformats.org/officeDocument/2006/relationships/hyperlink" Target="http://support.microsoft.com/kb/329526" TargetMode="External"/><Relationship Id="rId41" Type="http://schemas.openxmlformats.org/officeDocument/2006/relationships/hyperlink" Target="http://go.microsoft.com/fwlink/?LinkId=141862" TargetMode="External"/><Relationship Id="rId54" Type="http://schemas.openxmlformats.org/officeDocument/2006/relationships/hyperlink" Target="mailto:sqlfback@microsoft.com?subject=White%20Paper%20Feedback:%20Fast%20Track%20Data%20Warehouse%203.0%20Reference%20Guide"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msdn.microsoft.com/en-us/library/bb933866.aspx" TargetMode="External"/><Relationship Id="rId28" Type="http://schemas.openxmlformats.org/officeDocument/2006/relationships/hyperlink" Target="http://msdn.microsoft.com/en-us/library/dd535534.aspx" TargetMode="External"/><Relationship Id="rId36" Type="http://schemas.openxmlformats.org/officeDocument/2006/relationships/hyperlink" Target="http://www.microsoft.com/sqlserver/en/us/solutions-technologies/data-warehousing/fast-track.aspx" TargetMode="External"/><Relationship Id="rId49" Type="http://schemas.openxmlformats.org/officeDocument/2006/relationships/hyperlink" Target="http://support.microsoft.com/?id=824190" TargetMode="External"/><Relationship Id="rId5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yperlink" Target="http://www.microsoft.com/sqlserver/en/us/solutions-technologies/data-warehousing/fast-track.aspx" TargetMode="External"/><Relationship Id="rId44" Type="http://schemas.openxmlformats.org/officeDocument/2006/relationships/hyperlink" Target="http://go.microsoft.com/fwlink/?LinkId=141865" TargetMode="External"/><Relationship Id="rId52" Type="http://schemas.openxmlformats.org/officeDocument/2006/relationships/hyperlink" Target="http://go.microsoft.com/fwlink/?LinkId=141876" TargetMode="External"/><Relationship Id="rId60" Type="http://schemas.openxmlformats.org/officeDocument/2006/relationships/image" Target="media/image11.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upport.microsoft.com/kb/979149" TargetMode="External"/><Relationship Id="rId39" Type="http://schemas.openxmlformats.org/officeDocument/2006/relationships/hyperlink" Target="http://technet.microsoft.com/en-us/sqlserv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C66A23E6BEB4BBC5A3055A52CD324" ma:contentTypeVersion="5" ma:contentTypeDescription="Create a new document." ma:contentTypeScope="" ma:versionID="a1eb2086e10c8efb31a6b9c185dd4571">
  <xsd:schema xmlns:xsd="http://www.w3.org/2001/XMLSchema" xmlns:p="http://schemas.microsoft.com/office/2006/metadata/properties" xmlns:ns2="e088bdf7-e3e8-4871-901b-790e98bd1fd6" targetNamespace="http://schemas.microsoft.com/office/2006/metadata/properties" ma:root="true" ma:fieldsID="6ff383fa8e716c0934c35a7eda15be81" ns2:_="">
    <xsd:import namespace="e088bdf7-e3e8-4871-901b-790e98bd1fd6"/>
    <xsd:element name="properties">
      <xsd:complexType>
        <xsd:sequence>
          <xsd:element name="documentManagement">
            <xsd:complexType>
              <xsd:all>
                <xsd:element ref="ns2:Author0" minOccurs="0"/>
                <xsd:element ref="ns2:Status"/>
                <xsd:element ref="ns2:URL" minOccurs="0"/>
                <xsd:element ref="ns2:Paper_x0020_Type" minOccurs="0"/>
                <xsd:element ref="ns2:Template" minOccurs="0"/>
              </xsd:all>
            </xsd:complexType>
          </xsd:element>
        </xsd:sequence>
      </xsd:complexType>
    </xsd:element>
  </xsd:schema>
  <xsd:schema xmlns:xsd="http://www.w3.org/2001/XMLSchema" xmlns:dms="http://schemas.microsoft.com/office/2006/documentManagement/types" targetNamespace="e088bdf7-e3e8-4871-901b-790e98bd1fd6" elementFormDefault="qualified">
    <xsd:import namespace="http://schemas.microsoft.com/office/2006/documentManagement/types"/>
    <xsd:element name="Author0" ma:index="2" nillable="true" ma:displayName="Author" ma:internalName="Author0">
      <xsd:simpleType>
        <xsd:restriction base="dms:Text">
          <xsd:maxLength value="255"/>
        </xsd:restriction>
      </xsd:simpleType>
    </xsd:element>
    <xsd:element name="Status" ma:index="9" ma:displayName="Status" ma:default="In Editing" ma:format="Dropdown" ma:internalName="Status">
      <xsd:simpleType>
        <xsd:restriction base="dms:Choice">
          <xsd:enumeration value="In Editing"/>
          <xsd:enumeration value="Edit Complete/Ready To Publish"/>
          <xsd:enumeration value="Published"/>
          <xsd:enumeration value="On Hold"/>
        </xsd:restriction>
      </xsd:simpleType>
    </xsd:element>
    <xsd:element name="URL" ma:index="1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aper_x0020_Type" ma:index="11" nillable="true" ma:displayName="Paper Type" ma:default="Technical" ma:description="'Technical' papers are hosted in the MSDN/TechNet Library. 'Marketing' papers are hosted on microsoft.com. 'Community' are written by MVPs in the community." ma:format="RadioButtons" ma:internalName="Paper_x0020_Type">
      <xsd:simpleType>
        <xsd:restriction base="dms:Choice">
          <xsd:enumeration value="Marketing"/>
          <xsd:enumeration value="Technical"/>
          <xsd:enumeration value="Community"/>
        </xsd:restriction>
      </xsd:simpleType>
    </xsd:element>
    <xsd:element name="Template" ma:index="12" nillable="true" ma:displayName="Template" ma:default="SAP" ma:format="RadioButtons" ma:internalName="Template">
      <xsd:simpleType>
        <xsd:restriction base="dms:Choice">
          <xsd:enumeration value="Original"/>
          <xsd:enumeration value="SA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RL xmlns="e088bdf7-e3e8-4871-901b-790e98bd1fd6">
      <Url xsi:nil="true"/>
      <Description xsi:nil="true"/>
    </URL>
    <Status xmlns="e088bdf7-e3e8-4871-901b-790e98bd1fd6">Edit Complete/Ready To Publish</Status>
    <Template xmlns="e088bdf7-e3e8-4871-901b-790e98bd1fd6">SAP</Template>
    <Author0 xmlns="e088bdf7-e3e8-4871-901b-790e98bd1fd6">erickra</Author0>
    <Paper_x0020_Type xmlns="e088bdf7-e3e8-4871-901b-790e98bd1fd6">Technical</Paper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FAD62-1328-447C-9B8B-BBCFCE3A8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bdf7-e3e8-4871-901b-790e98bd1fd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524851-B33E-460A-B8CA-D92A85EDD371}">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e088bdf7-e3e8-4871-901b-790e98bd1fd6"/>
    <ds:schemaRef ds:uri="http://purl.org/dc/dcmitype/"/>
    <ds:schemaRef ds:uri="http://www.w3.org/XML/1998/namespace"/>
    <ds:schemaRef ds:uri="http://purl.org/dc/terms/"/>
  </ds:schemaRefs>
</ds:datastoreItem>
</file>

<file path=customXml/itemProps3.xml><?xml version="1.0" encoding="utf-8"?>
<ds:datastoreItem xmlns:ds="http://schemas.openxmlformats.org/officeDocument/2006/customXml" ds:itemID="{1C77D9AA-F2E6-4758-BDBF-D6F8DB98115F}">
  <ds:schemaRefs>
    <ds:schemaRef ds:uri="http://schemas.microsoft.com/sharepoint/v3/contenttype/forms"/>
  </ds:schemaRefs>
</ds:datastoreItem>
</file>

<file path=customXml/itemProps4.xml><?xml version="1.0" encoding="utf-8"?>
<ds:datastoreItem xmlns:ds="http://schemas.openxmlformats.org/officeDocument/2006/customXml" ds:itemID="{023A1DA8-97FC-45FC-ABEB-8AB88CD59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15252</Words>
  <Characters>86943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Fast Track 3.0 Reference Guide</vt:lpstr>
    </vt:vector>
  </TitlesOfParts>
  <LinksUpToDate>false</LinksUpToDate>
  <CharactersWithSpaces>101992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Track 3.0 Reference Guide</dc:title>
  <dc:creator/>
  <cp:lastModifiedBy/>
  <cp:revision>1</cp:revision>
  <dcterms:created xsi:type="dcterms:W3CDTF">2011-02-12T00:02:00Z</dcterms:created>
  <dcterms:modified xsi:type="dcterms:W3CDTF">2011-02-12T00:02:00Z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0x010100AF8C66A23E6BEB4BBC5A3055A52CD324</vt:lpwstr>
  </property>
</Properties>
</file>