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9B017" w14:textId="097C3112" w:rsidR="001D0985" w:rsidRDefault="001D0985" w:rsidP="00F60819">
      <w:bookmarkStart w:id="0" w:name="_Setup_the_Domain"/>
      <w:bookmarkStart w:id="1" w:name="_Prestage_the_Cluster"/>
      <w:bookmarkStart w:id="2" w:name="_Deploy_Temporary_FCI"/>
      <w:bookmarkStart w:id="3" w:name="_Start_Log_Shipping"/>
      <w:bookmarkStart w:id="4" w:name="_Stop_Mirroring_from"/>
      <w:bookmarkStart w:id="5" w:name="_Start_Mirroring_from"/>
      <w:bookmarkStart w:id="6" w:name="_Upgrade_Remote_Site"/>
      <w:bookmarkEnd w:id="0"/>
      <w:bookmarkEnd w:id="1"/>
      <w:bookmarkEnd w:id="2"/>
      <w:bookmarkEnd w:id="3"/>
      <w:bookmarkEnd w:id="4"/>
      <w:bookmarkEnd w:id="5"/>
      <w:bookmarkEnd w:id="6"/>
      <w:r>
        <w:rPr>
          <w:noProof/>
        </w:rPr>
        <w:drawing>
          <wp:inline distT="0" distB="0" distL="0" distR="0" wp14:anchorId="7A4123C3" wp14:editId="0337A9DD">
            <wp:extent cx="47625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990600"/>
                    </a:xfrm>
                    <a:prstGeom prst="rect">
                      <a:avLst/>
                    </a:prstGeom>
                    <a:noFill/>
                    <a:ln>
                      <a:noFill/>
                    </a:ln>
                  </pic:spPr>
                </pic:pic>
              </a:graphicData>
            </a:graphic>
          </wp:inline>
        </w:drawing>
      </w:r>
    </w:p>
    <w:p w14:paraId="26C5487C" w14:textId="77777777" w:rsidR="001D0985" w:rsidRDefault="001D0985" w:rsidP="001D0985">
      <w:r>
        <w:t>Migration Guide: Migrating to SQL Server 2012 Failover Clustering and Availability Groups from Prior Clustering and Mirroring Deployments</w:t>
      </w:r>
    </w:p>
    <w:p w14:paraId="797A86A0" w14:textId="77777777" w:rsidR="001D0985" w:rsidRDefault="001D0985" w:rsidP="001D0985">
      <w:r>
        <w:t>Part I – Prescriptive Guidance</w:t>
      </w:r>
    </w:p>
    <w:p w14:paraId="6C8B9033" w14:textId="77777777" w:rsidR="001D0985" w:rsidRDefault="001D0985" w:rsidP="001D0985">
      <w:pPr>
        <w:rPr>
          <w:rFonts w:ascii="Arial" w:hAnsi="Arial" w:cs="Arial"/>
        </w:rPr>
      </w:pPr>
    </w:p>
    <w:p w14:paraId="4127D9E8" w14:textId="77777777" w:rsidR="001D0985" w:rsidRDefault="001D0985" w:rsidP="001D0985">
      <w:pPr>
        <w:rPr>
          <w:rFonts w:ascii="Arial" w:hAnsi="Arial" w:cs="Arial"/>
        </w:rPr>
      </w:pPr>
      <w:r>
        <w:rPr>
          <w:rFonts w:ascii="Arial" w:hAnsi="Arial" w:cs="Arial"/>
          <w:b/>
        </w:rPr>
        <w:t>Writer:</w:t>
      </w:r>
      <w:r>
        <w:rPr>
          <w:rFonts w:ascii="Arial" w:hAnsi="Arial" w:cs="Arial"/>
        </w:rPr>
        <w:t xml:space="preserve"> Cephas Lin (Microsoft)</w:t>
      </w:r>
    </w:p>
    <w:p w14:paraId="30DF69FB" w14:textId="77777777" w:rsidR="001D0985" w:rsidRDefault="001D0985" w:rsidP="001D0985">
      <w:pPr>
        <w:rPr>
          <w:rFonts w:ascii="Arial" w:hAnsi="Arial" w:cs="Arial"/>
        </w:rPr>
      </w:pPr>
      <w:r>
        <w:rPr>
          <w:rFonts w:ascii="Arial" w:hAnsi="Arial" w:cs="Arial"/>
          <w:b/>
        </w:rPr>
        <w:t xml:space="preserve">Contributors: </w:t>
      </w:r>
      <w:r>
        <w:rPr>
          <w:rFonts w:ascii="Arial" w:hAnsi="Arial" w:cs="Arial"/>
        </w:rPr>
        <w:t>Sanjay Mishra (Microsoft), David Smith (</w:t>
      </w:r>
      <w:proofErr w:type="spellStart"/>
      <w:r>
        <w:rPr>
          <w:rFonts w:ascii="Arial" w:hAnsi="Arial" w:cs="Arial"/>
        </w:rPr>
        <w:t>ServiceU</w:t>
      </w:r>
      <w:proofErr w:type="spellEnd"/>
      <w:r>
        <w:rPr>
          <w:rFonts w:ascii="Arial" w:hAnsi="Arial" w:cs="Arial"/>
        </w:rPr>
        <w:t xml:space="preserve"> Corporation), </w:t>
      </w:r>
      <w:proofErr w:type="spellStart"/>
      <w:r>
        <w:rPr>
          <w:rFonts w:ascii="Arial" w:hAnsi="Arial" w:cs="Arial"/>
        </w:rPr>
        <w:t>LeRoy</w:t>
      </w:r>
      <w:proofErr w:type="spellEnd"/>
      <w:r>
        <w:rPr>
          <w:rFonts w:ascii="Arial" w:hAnsi="Arial" w:cs="Arial"/>
        </w:rPr>
        <w:t xml:space="preserve"> Tuttle Jr. (Microsoft)</w:t>
      </w:r>
    </w:p>
    <w:p w14:paraId="05F18DB7" w14:textId="40369F27" w:rsidR="001D0985" w:rsidRDefault="001D0985" w:rsidP="001D0985">
      <w:pPr>
        <w:rPr>
          <w:rFonts w:ascii="Arial" w:hAnsi="Arial" w:cs="Arial"/>
          <w:b/>
        </w:rPr>
      </w:pPr>
      <w:r>
        <w:rPr>
          <w:rFonts w:ascii="Arial" w:hAnsi="Arial" w:cs="Arial"/>
          <w:b/>
        </w:rPr>
        <w:t>Technical Reviewers:</w:t>
      </w:r>
      <w:r>
        <w:rPr>
          <w:rFonts w:ascii="Arial" w:hAnsi="Arial" w:cs="Arial"/>
        </w:rPr>
        <w:t xml:space="preserve"> </w:t>
      </w:r>
      <w:r w:rsidR="004034FC" w:rsidRPr="004034FC">
        <w:rPr>
          <w:rFonts w:ascii="Arial" w:hAnsi="Arial" w:cs="Arial"/>
        </w:rPr>
        <w:t xml:space="preserve">Prem Mehra </w:t>
      </w:r>
      <w:r w:rsidR="009A5598">
        <w:rPr>
          <w:rFonts w:ascii="Arial" w:hAnsi="Arial" w:cs="Arial"/>
        </w:rPr>
        <w:t xml:space="preserve">(Microsoft), </w:t>
      </w:r>
      <w:r>
        <w:rPr>
          <w:rFonts w:ascii="Arial" w:hAnsi="Arial" w:cs="Arial"/>
        </w:rPr>
        <w:t>Mike Weiner (Microsoft), Steve Howard (Microsoft), Kun Cheng (Microsoft)</w:t>
      </w:r>
      <w:r w:rsidR="007B1739">
        <w:rPr>
          <w:rFonts w:ascii="Arial" w:hAnsi="Arial" w:cs="Arial"/>
        </w:rPr>
        <w:t xml:space="preserve">, </w:t>
      </w:r>
      <w:r w:rsidR="00F60819" w:rsidRPr="00F60819">
        <w:rPr>
          <w:rFonts w:ascii="Arial" w:hAnsi="Arial" w:cs="Arial"/>
        </w:rPr>
        <w:t>Paul Randal (</w:t>
      </w:r>
      <w:proofErr w:type="spellStart"/>
      <w:r w:rsidR="00F60819" w:rsidRPr="00F60819">
        <w:rPr>
          <w:rFonts w:ascii="Arial" w:hAnsi="Arial" w:cs="Arial"/>
        </w:rPr>
        <w:t>SQLskills</w:t>
      </w:r>
      <w:proofErr w:type="spellEnd"/>
      <w:r w:rsidR="00F60819" w:rsidRPr="00F60819">
        <w:rPr>
          <w:rFonts w:ascii="Arial" w:hAnsi="Arial" w:cs="Arial"/>
        </w:rPr>
        <w:t>)</w:t>
      </w:r>
      <w:bookmarkStart w:id="7" w:name="_GoBack"/>
      <w:bookmarkEnd w:id="7"/>
    </w:p>
    <w:p w14:paraId="1ED65C8E" w14:textId="77777777" w:rsidR="001D0985" w:rsidRDefault="001D0985" w:rsidP="001D0985">
      <w:pPr>
        <w:rPr>
          <w:rFonts w:ascii="Arial" w:hAnsi="Arial" w:cs="Arial"/>
        </w:rPr>
      </w:pPr>
    </w:p>
    <w:p w14:paraId="20A97A78" w14:textId="77777777" w:rsidR="001D0985" w:rsidRDefault="001D0985" w:rsidP="001D0985">
      <w:pPr>
        <w:rPr>
          <w:rFonts w:ascii="Arial" w:hAnsi="Arial" w:cs="Arial"/>
          <w:b/>
        </w:rPr>
      </w:pPr>
      <w:r>
        <w:rPr>
          <w:rFonts w:ascii="Arial" w:hAnsi="Arial" w:cs="Arial"/>
          <w:b/>
        </w:rPr>
        <w:t>Published:</w:t>
      </w:r>
      <w:r>
        <w:rPr>
          <w:rFonts w:ascii="Arial" w:hAnsi="Arial" w:cs="Arial"/>
        </w:rPr>
        <w:t xml:space="preserve"> March 2012</w:t>
      </w:r>
    </w:p>
    <w:p w14:paraId="20CC20FE" w14:textId="77777777" w:rsidR="001D0985" w:rsidRDefault="001D0985" w:rsidP="001D0985">
      <w:pPr>
        <w:rPr>
          <w:rFonts w:ascii="Arial" w:hAnsi="Arial" w:cs="Arial"/>
        </w:rPr>
      </w:pPr>
      <w:r>
        <w:rPr>
          <w:rFonts w:ascii="Arial" w:hAnsi="Arial" w:cs="Arial"/>
          <w:b/>
        </w:rPr>
        <w:t>Applies to:</w:t>
      </w:r>
      <w:r>
        <w:rPr>
          <w:rFonts w:ascii="Arial" w:hAnsi="Arial" w:cs="Arial"/>
        </w:rPr>
        <w:t xml:space="preserve"> Microsoft SQL Server 2012</w:t>
      </w:r>
    </w:p>
    <w:p w14:paraId="521A6A1E" w14:textId="77777777" w:rsidR="001D0985" w:rsidRDefault="001D0985" w:rsidP="001D0985">
      <w:pPr>
        <w:rPr>
          <w:rFonts w:ascii="Arial" w:hAnsi="Arial" w:cs="Arial"/>
        </w:rPr>
      </w:pPr>
    </w:p>
    <w:p w14:paraId="5A65E36E" w14:textId="77777777" w:rsidR="001D0985" w:rsidRDefault="001D0985" w:rsidP="001D0985">
      <w:pPr>
        <w:rPr>
          <w:rFonts w:ascii="Arial" w:hAnsi="Arial" w:cs="Arial"/>
        </w:rPr>
      </w:pPr>
      <w:r>
        <w:rPr>
          <w:rFonts w:ascii="Arial" w:hAnsi="Arial" w:cs="Arial"/>
          <w:b/>
        </w:rPr>
        <w:t>Summary:</w:t>
      </w:r>
      <w:r>
        <w:rPr>
          <w:rFonts w:ascii="Arial" w:hAnsi="Arial" w:cs="Arial"/>
        </w:rPr>
        <w:t xml:space="preserve"> This paper provides guidance for customers who prior to SQL Server 2012 have deployed SQL Failover Clustering for local high availability and database mirroring for disaster recovery, and who want to migrate to SQL Server </w:t>
      </w:r>
      <w:proofErr w:type="spellStart"/>
      <w:r>
        <w:rPr>
          <w:rFonts w:ascii="Arial" w:hAnsi="Arial" w:cs="Arial"/>
        </w:rPr>
        <w:t>AlwaysOn</w:t>
      </w:r>
      <w:proofErr w:type="spellEnd"/>
      <w:r>
        <w:rPr>
          <w:rFonts w:ascii="Arial" w:hAnsi="Arial" w:cs="Arial"/>
        </w:rPr>
        <w:t xml:space="preserve">. It describes the corresponding </w:t>
      </w:r>
      <w:proofErr w:type="gramStart"/>
      <w:r>
        <w:rPr>
          <w:rFonts w:ascii="Arial" w:hAnsi="Arial" w:cs="Arial"/>
        </w:rPr>
        <w:t xml:space="preserve">SQL Server </w:t>
      </w:r>
      <w:proofErr w:type="spellStart"/>
      <w:r>
        <w:rPr>
          <w:rFonts w:ascii="Arial" w:hAnsi="Arial" w:cs="Arial"/>
        </w:rPr>
        <w:t>AlwaysOn</w:t>
      </w:r>
      <w:proofErr w:type="spellEnd"/>
      <w:r>
        <w:rPr>
          <w:rFonts w:ascii="Arial" w:hAnsi="Arial" w:cs="Arial"/>
        </w:rPr>
        <w:t xml:space="preserve"> scenario and the migration paths to SQL Server </w:t>
      </w:r>
      <w:proofErr w:type="spellStart"/>
      <w:r>
        <w:rPr>
          <w:rFonts w:ascii="Arial" w:hAnsi="Arial" w:cs="Arial"/>
        </w:rPr>
        <w:t>AlwaysOn</w:t>
      </w:r>
      <w:proofErr w:type="spellEnd"/>
      <w:r>
        <w:rPr>
          <w:rFonts w:ascii="Arial" w:hAnsi="Arial" w:cs="Arial"/>
        </w:rPr>
        <w:t>.</w:t>
      </w:r>
      <w:proofErr w:type="gramEnd"/>
      <w:r>
        <w:rPr>
          <w:rFonts w:ascii="Arial" w:hAnsi="Arial" w:cs="Arial"/>
        </w:rPr>
        <w:t xml:space="preserve"> It also contains the important knowledge and considerations that you must know in order to successfully migrate to a HADR solution based on SQL Server </w:t>
      </w:r>
      <w:proofErr w:type="spellStart"/>
      <w:r>
        <w:rPr>
          <w:rFonts w:ascii="Arial" w:hAnsi="Arial" w:cs="Arial"/>
        </w:rPr>
        <w:t>AlwaysOn</w:t>
      </w:r>
      <w:proofErr w:type="spellEnd"/>
      <w:r>
        <w:rPr>
          <w:rFonts w:ascii="Arial" w:hAnsi="Arial" w:cs="Arial"/>
        </w:rPr>
        <w:t xml:space="preserve"> technology, which implements </w:t>
      </w:r>
      <w:proofErr w:type="spellStart"/>
      <w:r>
        <w:rPr>
          <w:rFonts w:ascii="Arial" w:hAnsi="Arial" w:cs="Arial"/>
        </w:rPr>
        <w:t>AlwaysOn</w:t>
      </w:r>
      <w:proofErr w:type="spellEnd"/>
      <w:r>
        <w:rPr>
          <w:rFonts w:ascii="Arial" w:hAnsi="Arial" w:cs="Arial"/>
        </w:rPr>
        <w:t xml:space="preserve"> Failover Cluster Instances for high availability and </w:t>
      </w:r>
      <w:proofErr w:type="spellStart"/>
      <w:r>
        <w:rPr>
          <w:rFonts w:ascii="Arial" w:hAnsi="Arial" w:cs="Arial"/>
        </w:rPr>
        <w:t>AlwaysOn</w:t>
      </w:r>
      <w:proofErr w:type="spellEnd"/>
      <w:r>
        <w:rPr>
          <w:rFonts w:ascii="Arial" w:hAnsi="Arial" w:cs="Arial"/>
        </w:rPr>
        <w:t xml:space="preserve"> Availability Groups for disaster recovery. </w:t>
      </w:r>
    </w:p>
    <w:p w14:paraId="11D2C755" w14:textId="77777777" w:rsidR="001D0985" w:rsidRDefault="001D0985" w:rsidP="001D0985">
      <w:pPr>
        <w:rPr>
          <w:rFonts w:asciiTheme="majorHAnsi" w:eastAsiaTheme="majorEastAsia" w:hAnsiTheme="majorHAnsi" w:cstheme="majorBidi"/>
          <w:color w:val="365F91" w:themeColor="accent1" w:themeShade="BF"/>
          <w:sz w:val="28"/>
          <w:szCs w:val="28"/>
        </w:rPr>
      </w:pPr>
      <w:r>
        <w:br w:type="page"/>
      </w:r>
    </w:p>
    <w:p w14:paraId="5E35CF95" w14:textId="77777777" w:rsidR="001D0985" w:rsidRDefault="001D0985" w:rsidP="001D0985">
      <w:pPr>
        <w:rPr>
          <w:sz w:val="36"/>
          <w:szCs w:val="36"/>
        </w:rPr>
      </w:pPr>
      <w:r>
        <w:rPr>
          <w:sz w:val="36"/>
          <w:szCs w:val="36"/>
        </w:rPr>
        <w:lastRenderedPageBreak/>
        <w:t>Copyright</w:t>
      </w:r>
    </w:p>
    <w:p w14:paraId="516980D0" w14:textId="77777777" w:rsidR="001D0985" w:rsidRDefault="001D0985" w:rsidP="001D0985">
      <w:pPr>
        <w:pStyle w:val="Text"/>
        <w:rPr>
          <w:sz w:val="16"/>
        </w:rPr>
      </w:pPr>
    </w:p>
    <w:p w14:paraId="577F84CD" w14:textId="77777777" w:rsidR="001D0985" w:rsidRDefault="001D0985" w:rsidP="001D0985">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52169320" w14:textId="77777777" w:rsidR="001D0985" w:rsidRDefault="001D0985" w:rsidP="001D0985">
      <w:pPr>
        <w:pStyle w:val="ListParagraph"/>
        <w:ind w:left="0"/>
        <w:rPr>
          <w:color w:val="000000"/>
        </w:rPr>
      </w:pPr>
      <w:r>
        <w:rPr>
          <w:color w:val="000000"/>
        </w:rPr>
        <w:t>Some examples depicted herein are provided for illustration only and are fictitious.  No real association or connection is intended or should be inferred.</w:t>
      </w:r>
    </w:p>
    <w:p w14:paraId="4717069F" w14:textId="77777777" w:rsidR="001D0985" w:rsidRDefault="001D0985" w:rsidP="001D0985">
      <w:pPr>
        <w:rPr>
          <w:b/>
          <w:bCs/>
          <w:i/>
          <w:iCs/>
          <w:color w:val="000000"/>
          <w:sz w:val="20"/>
          <w:szCs w:val="20"/>
        </w:rPr>
      </w:pPr>
      <w:r>
        <w:rPr>
          <w:color w:val="000000"/>
        </w:rPr>
        <w:t xml:space="preserve">This document does not provide you with any legal rights to any intellectual property in any Microsoft product. You may copy and use this document for your internal, reference purposes. </w:t>
      </w:r>
    </w:p>
    <w:p w14:paraId="5965CCFD" w14:textId="77777777" w:rsidR="001D0985" w:rsidRDefault="001D0985" w:rsidP="001D0985">
      <w:pPr>
        <w:rPr>
          <w:color w:val="000000"/>
        </w:rPr>
      </w:pPr>
      <w:r>
        <w:rPr>
          <w:color w:val="000000"/>
        </w:rPr>
        <w:t>© 2012 Microsoft. All rights reserved.</w:t>
      </w:r>
    </w:p>
    <w:p w14:paraId="3175EDD6" w14:textId="77777777" w:rsidR="001D0985" w:rsidRDefault="001D0985" w:rsidP="001D0985">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sdtContent>
        <w:p w14:paraId="1432021D" w14:textId="77777777" w:rsidR="001D0985" w:rsidRDefault="001D0985" w:rsidP="001D0985">
          <w:pPr>
            <w:pStyle w:val="TOCHeading"/>
          </w:pPr>
          <w:r>
            <w:t>Contents</w:t>
          </w:r>
        </w:p>
        <w:p w14:paraId="6686A572" w14:textId="77777777" w:rsidR="008E7AB8" w:rsidRDefault="001D0985">
          <w:pPr>
            <w:pStyle w:val="TOC1"/>
            <w:tabs>
              <w:tab w:val="right" w:leader="dot" w:pos="9350"/>
            </w:tabs>
            <w:rPr>
              <w:noProof/>
            </w:rPr>
          </w:pPr>
          <w:r>
            <w:fldChar w:fldCharType="begin"/>
          </w:r>
          <w:r>
            <w:instrText xml:space="preserve"> TOC \o "1-3" \h \z \u </w:instrText>
          </w:r>
          <w:r>
            <w:fldChar w:fldCharType="separate"/>
          </w:r>
          <w:hyperlink w:anchor="_Toc321126883" w:history="1">
            <w:r w:rsidR="008E7AB8" w:rsidRPr="00EA394A">
              <w:rPr>
                <w:rStyle w:val="Hyperlink"/>
                <w:noProof/>
              </w:rPr>
              <w:t>Introduction</w:t>
            </w:r>
            <w:r w:rsidR="008E7AB8">
              <w:rPr>
                <w:noProof/>
                <w:webHidden/>
              </w:rPr>
              <w:tab/>
            </w:r>
            <w:r w:rsidR="008E7AB8">
              <w:rPr>
                <w:noProof/>
                <w:webHidden/>
              </w:rPr>
              <w:fldChar w:fldCharType="begin"/>
            </w:r>
            <w:r w:rsidR="008E7AB8">
              <w:rPr>
                <w:noProof/>
                <w:webHidden/>
              </w:rPr>
              <w:instrText xml:space="preserve"> PAGEREF _Toc321126883 \h </w:instrText>
            </w:r>
            <w:r w:rsidR="008E7AB8">
              <w:rPr>
                <w:noProof/>
                <w:webHidden/>
              </w:rPr>
            </w:r>
            <w:r w:rsidR="008E7AB8">
              <w:rPr>
                <w:noProof/>
                <w:webHidden/>
              </w:rPr>
              <w:fldChar w:fldCharType="separate"/>
            </w:r>
            <w:r w:rsidR="008E7AB8">
              <w:rPr>
                <w:noProof/>
                <w:webHidden/>
              </w:rPr>
              <w:t>4</w:t>
            </w:r>
            <w:r w:rsidR="008E7AB8">
              <w:rPr>
                <w:noProof/>
                <w:webHidden/>
              </w:rPr>
              <w:fldChar w:fldCharType="end"/>
            </w:r>
          </w:hyperlink>
        </w:p>
        <w:p w14:paraId="5685E725" w14:textId="77777777" w:rsidR="008E7AB8" w:rsidRDefault="007A2C7E">
          <w:pPr>
            <w:pStyle w:val="TOC1"/>
            <w:tabs>
              <w:tab w:val="right" w:leader="dot" w:pos="9350"/>
            </w:tabs>
            <w:rPr>
              <w:noProof/>
            </w:rPr>
          </w:pPr>
          <w:hyperlink w:anchor="_Toc321126884" w:history="1">
            <w:r w:rsidR="008E7AB8" w:rsidRPr="00EA394A">
              <w:rPr>
                <w:rStyle w:val="Hyperlink"/>
                <w:noProof/>
              </w:rPr>
              <w:t>Migration Path to SQL Server 2012 AlwaysOn</w:t>
            </w:r>
            <w:r w:rsidR="008E7AB8">
              <w:rPr>
                <w:noProof/>
                <w:webHidden/>
              </w:rPr>
              <w:tab/>
            </w:r>
            <w:r w:rsidR="008E7AB8">
              <w:rPr>
                <w:noProof/>
                <w:webHidden/>
              </w:rPr>
              <w:fldChar w:fldCharType="begin"/>
            </w:r>
            <w:r w:rsidR="008E7AB8">
              <w:rPr>
                <w:noProof/>
                <w:webHidden/>
              </w:rPr>
              <w:instrText xml:space="preserve"> PAGEREF _Toc321126884 \h </w:instrText>
            </w:r>
            <w:r w:rsidR="008E7AB8">
              <w:rPr>
                <w:noProof/>
                <w:webHidden/>
              </w:rPr>
            </w:r>
            <w:r w:rsidR="008E7AB8">
              <w:rPr>
                <w:noProof/>
                <w:webHidden/>
              </w:rPr>
              <w:fldChar w:fldCharType="separate"/>
            </w:r>
            <w:r w:rsidR="008E7AB8">
              <w:rPr>
                <w:noProof/>
                <w:webHidden/>
              </w:rPr>
              <w:t>4</w:t>
            </w:r>
            <w:r w:rsidR="008E7AB8">
              <w:rPr>
                <w:noProof/>
                <w:webHidden/>
              </w:rPr>
              <w:fldChar w:fldCharType="end"/>
            </w:r>
          </w:hyperlink>
        </w:p>
        <w:p w14:paraId="6A016363" w14:textId="77777777" w:rsidR="008E7AB8" w:rsidRDefault="007A2C7E">
          <w:pPr>
            <w:pStyle w:val="TOC2"/>
            <w:tabs>
              <w:tab w:val="right" w:leader="dot" w:pos="9350"/>
            </w:tabs>
            <w:rPr>
              <w:noProof/>
            </w:rPr>
          </w:pPr>
          <w:hyperlink w:anchor="_Toc321126885" w:history="1">
            <w:r w:rsidR="008E7AB8" w:rsidRPr="00EA394A">
              <w:rPr>
                <w:rStyle w:val="Hyperlink"/>
                <w:noProof/>
              </w:rPr>
              <w:t>Migration Without Intermediate Hardware</w:t>
            </w:r>
            <w:r w:rsidR="008E7AB8">
              <w:rPr>
                <w:noProof/>
                <w:webHidden/>
              </w:rPr>
              <w:tab/>
            </w:r>
            <w:r w:rsidR="008E7AB8">
              <w:rPr>
                <w:noProof/>
                <w:webHidden/>
              </w:rPr>
              <w:fldChar w:fldCharType="begin"/>
            </w:r>
            <w:r w:rsidR="008E7AB8">
              <w:rPr>
                <w:noProof/>
                <w:webHidden/>
              </w:rPr>
              <w:instrText xml:space="preserve"> PAGEREF _Toc321126885 \h </w:instrText>
            </w:r>
            <w:r w:rsidR="008E7AB8">
              <w:rPr>
                <w:noProof/>
                <w:webHidden/>
              </w:rPr>
            </w:r>
            <w:r w:rsidR="008E7AB8">
              <w:rPr>
                <w:noProof/>
                <w:webHidden/>
              </w:rPr>
              <w:fldChar w:fldCharType="separate"/>
            </w:r>
            <w:r w:rsidR="008E7AB8">
              <w:rPr>
                <w:noProof/>
                <w:webHidden/>
              </w:rPr>
              <w:t>5</w:t>
            </w:r>
            <w:r w:rsidR="008E7AB8">
              <w:rPr>
                <w:noProof/>
                <w:webHidden/>
              </w:rPr>
              <w:fldChar w:fldCharType="end"/>
            </w:r>
          </w:hyperlink>
        </w:p>
        <w:p w14:paraId="524EAAD9" w14:textId="77777777" w:rsidR="008E7AB8" w:rsidRDefault="007A2C7E">
          <w:pPr>
            <w:pStyle w:val="TOC2"/>
            <w:tabs>
              <w:tab w:val="right" w:leader="dot" w:pos="9350"/>
            </w:tabs>
            <w:rPr>
              <w:noProof/>
            </w:rPr>
          </w:pPr>
          <w:hyperlink w:anchor="_Toc321126886" w:history="1">
            <w:r w:rsidR="008E7AB8" w:rsidRPr="00EA394A">
              <w:rPr>
                <w:rStyle w:val="Hyperlink"/>
                <w:noProof/>
              </w:rPr>
              <w:t>Migration with Intermediate Hardware</w:t>
            </w:r>
            <w:r w:rsidR="008E7AB8">
              <w:rPr>
                <w:noProof/>
                <w:webHidden/>
              </w:rPr>
              <w:tab/>
            </w:r>
            <w:r w:rsidR="008E7AB8">
              <w:rPr>
                <w:noProof/>
                <w:webHidden/>
              </w:rPr>
              <w:fldChar w:fldCharType="begin"/>
            </w:r>
            <w:r w:rsidR="008E7AB8">
              <w:rPr>
                <w:noProof/>
                <w:webHidden/>
              </w:rPr>
              <w:instrText xml:space="preserve"> PAGEREF _Toc321126886 \h </w:instrText>
            </w:r>
            <w:r w:rsidR="008E7AB8">
              <w:rPr>
                <w:noProof/>
                <w:webHidden/>
              </w:rPr>
            </w:r>
            <w:r w:rsidR="008E7AB8">
              <w:rPr>
                <w:noProof/>
                <w:webHidden/>
              </w:rPr>
              <w:fldChar w:fldCharType="separate"/>
            </w:r>
            <w:r w:rsidR="008E7AB8">
              <w:rPr>
                <w:noProof/>
                <w:webHidden/>
              </w:rPr>
              <w:t>7</w:t>
            </w:r>
            <w:r w:rsidR="008E7AB8">
              <w:rPr>
                <w:noProof/>
                <w:webHidden/>
              </w:rPr>
              <w:fldChar w:fldCharType="end"/>
            </w:r>
          </w:hyperlink>
        </w:p>
        <w:p w14:paraId="2EFD3787" w14:textId="77777777" w:rsidR="008E7AB8" w:rsidRDefault="007A2C7E">
          <w:pPr>
            <w:pStyle w:val="TOC1"/>
            <w:tabs>
              <w:tab w:val="right" w:leader="dot" w:pos="9350"/>
            </w:tabs>
            <w:rPr>
              <w:noProof/>
            </w:rPr>
          </w:pPr>
          <w:hyperlink w:anchor="_Toc321126887" w:history="1">
            <w:r w:rsidR="008E7AB8" w:rsidRPr="00EA394A">
              <w:rPr>
                <w:rStyle w:val="Hyperlink"/>
                <w:noProof/>
              </w:rPr>
              <w:t>Important Considerations</w:t>
            </w:r>
            <w:r w:rsidR="008E7AB8">
              <w:rPr>
                <w:noProof/>
                <w:webHidden/>
              </w:rPr>
              <w:tab/>
            </w:r>
            <w:r w:rsidR="008E7AB8">
              <w:rPr>
                <w:noProof/>
                <w:webHidden/>
              </w:rPr>
              <w:fldChar w:fldCharType="begin"/>
            </w:r>
            <w:r w:rsidR="008E7AB8">
              <w:rPr>
                <w:noProof/>
                <w:webHidden/>
              </w:rPr>
              <w:instrText xml:space="preserve"> PAGEREF _Toc321126887 \h </w:instrText>
            </w:r>
            <w:r w:rsidR="008E7AB8">
              <w:rPr>
                <w:noProof/>
                <w:webHidden/>
              </w:rPr>
            </w:r>
            <w:r w:rsidR="008E7AB8">
              <w:rPr>
                <w:noProof/>
                <w:webHidden/>
              </w:rPr>
              <w:fldChar w:fldCharType="separate"/>
            </w:r>
            <w:r w:rsidR="008E7AB8">
              <w:rPr>
                <w:noProof/>
                <w:webHidden/>
              </w:rPr>
              <w:t>10</w:t>
            </w:r>
            <w:r w:rsidR="008E7AB8">
              <w:rPr>
                <w:noProof/>
                <w:webHidden/>
              </w:rPr>
              <w:fldChar w:fldCharType="end"/>
            </w:r>
          </w:hyperlink>
        </w:p>
        <w:p w14:paraId="4347F0B6" w14:textId="77777777" w:rsidR="008E7AB8" w:rsidRDefault="007A2C7E">
          <w:pPr>
            <w:pStyle w:val="TOC2"/>
            <w:tabs>
              <w:tab w:val="right" w:leader="dot" w:pos="9350"/>
            </w:tabs>
            <w:rPr>
              <w:noProof/>
            </w:rPr>
          </w:pPr>
          <w:hyperlink w:anchor="_Toc321126888" w:history="1">
            <w:r w:rsidR="008E7AB8" w:rsidRPr="00EA394A">
              <w:rPr>
                <w:rStyle w:val="Hyperlink"/>
                <w:noProof/>
              </w:rPr>
              <w:t>AlwaysOn Availability Groups and Windows Server Failover Clustering</w:t>
            </w:r>
            <w:r w:rsidR="008E7AB8">
              <w:rPr>
                <w:noProof/>
                <w:webHidden/>
              </w:rPr>
              <w:tab/>
            </w:r>
            <w:r w:rsidR="008E7AB8">
              <w:rPr>
                <w:noProof/>
                <w:webHidden/>
              </w:rPr>
              <w:fldChar w:fldCharType="begin"/>
            </w:r>
            <w:r w:rsidR="008E7AB8">
              <w:rPr>
                <w:noProof/>
                <w:webHidden/>
              </w:rPr>
              <w:instrText xml:space="preserve"> PAGEREF _Toc321126888 \h </w:instrText>
            </w:r>
            <w:r w:rsidR="008E7AB8">
              <w:rPr>
                <w:noProof/>
                <w:webHidden/>
              </w:rPr>
            </w:r>
            <w:r w:rsidR="008E7AB8">
              <w:rPr>
                <w:noProof/>
                <w:webHidden/>
              </w:rPr>
              <w:fldChar w:fldCharType="separate"/>
            </w:r>
            <w:r w:rsidR="008E7AB8">
              <w:rPr>
                <w:noProof/>
                <w:webHidden/>
              </w:rPr>
              <w:t>11</w:t>
            </w:r>
            <w:r w:rsidR="008E7AB8">
              <w:rPr>
                <w:noProof/>
                <w:webHidden/>
              </w:rPr>
              <w:fldChar w:fldCharType="end"/>
            </w:r>
          </w:hyperlink>
        </w:p>
        <w:p w14:paraId="39EA5893" w14:textId="77777777" w:rsidR="008E7AB8" w:rsidRDefault="007A2C7E">
          <w:pPr>
            <w:pStyle w:val="TOC2"/>
            <w:tabs>
              <w:tab w:val="right" w:leader="dot" w:pos="9350"/>
            </w:tabs>
            <w:rPr>
              <w:noProof/>
            </w:rPr>
          </w:pPr>
          <w:hyperlink w:anchor="_Toc321126889" w:history="1">
            <w:r w:rsidR="008E7AB8" w:rsidRPr="00EA394A">
              <w:rPr>
                <w:rStyle w:val="Hyperlink"/>
                <w:noProof/>
              </w:rPr>
              <w:t>Forced Quorum in AlwaysOn Availability Groups</w:t>
            </w:r>
            <w:r w:rsidR="008E7AB8">
              <w:rPr>
                <w:noProof/>
                <w:webHidden/>
              </w:rPr>
              <w:tab/>
            </w:r>
            <w:r w:rsidR="008E7AB8">
              <w:rPr>
                <w:noProof/>
                <w:webHidden/>
              </w:rPr>
              <w:fldChar w:fldCharType="begin"/>
            </w:r>
            <w:r w:rsidR="008E7AB8">
              <w:rPr>
                <w:noProof/>
                <w:webHidden/>
              </w:rPr>
              <w:instrText xml:space="preserve"> PAGEREF _Toc321126889 \h </w:instrText>
            </w:r>
            <w:r w:rsidR="008E7AB8">
              <w:rPr>
                <w:noProof/>
                <w:webHidden/>
              </w:rPr>
            </w:r>
            <w:r w:rsidR="008E7AB8">
              <w:rPr>
                <w:noProof/>
                <w:webHidden/>
              </w:rPr>
              <w:fldChar w:fldCharType="separate"/>
            </w:r>
            <w:r w:rsidR="008E7AB8">
              <w:rPr>
                <w:noProof/>
                <w:webHidden/>
              </w:rPr>
              <w:t>11</w:t>
            </w:r>
            <w:r w:rsidR="008E7AB8">
              <w:rPr>
                <w:noProof/>
                <w:webHidden/>
              </w:rPr>
              <w:fldChar w:fldCharType="end"/>
            </w:r>
          </w:hyperlink>
        </w:p>
        <w:p w14:paraId="6E54CCCD" w14:textId="77777777" w:rsidR="008E7AB8" w:rsidRDefault="007A2C7E">
          <w:pPr>
            <w:pStyle w:val="TOC2"/>
            <w:tabs>
              <w:tab w:val="right" w:leader="dot" w:pos="9350"/>
            </w:tabs>
            <w:rPr>
              <w:noProof/>
            </w:rPr>
          </w:pPr>
          <w:hyperlink w:anchor="_Toc321126890" w:history="1">
            <w:r w:rsidR="008E7AB8" w:rsidRPr="00EA394A">
              <w:rPr>
                <w:rStyle w:val="Hyperlink"/>
                <w:noProof/>
              </w:rPr>
              <w:t>Automatic Failovers and FCI</w:t>
            </w:r>
            <w:r w:rsidR="008E7AB8">
              <w:rPr>
                <w:noProof/>
                <w:webHidden/>
              </w:rPr>
              <w:tab/>
            </w:r>
            <w:r w:rsidR="008E7AB8">
              <w:rPr>
                <w:noProof/>
                <w:webHidden/>
              </w:rPr>
              <w:fldChar w:fldCharType="begin"/>
            </w:r>
            <w:r w:rsidR="008E7AB8">
              <w:rPr>
                <w:noProof/>
                <w:webHidden/>
              </w:rPr>
              <w:instrText xml:space="preserve"> PAGEREF _Toc321126890 \h </w:instrText>
            </w:r>
            <w:r w:rsidR="008E7AB8">
              <w:rPr>
                <w:noProof/>
                <w:webHidden/>
              </w:rPr>
            </w:r>
            <w:r w:rsidR="008E7AB8">
              <w:rPr>
                <w:noProof/>
                <w:webHidden/>
              </w:rPr>
              <w:fldChar w:fldCharType="separate"/>
            </w:r>
            <w:r w:rsidR="008E7AB8">
              <w:rPr>
                <w:noProof/>
                <w:webHidden/>
              </w:rPr>
              <w:t>12</w:t>
            </w:r>
            <w:r w:rsidR="008E7AB8">
              <w:rPr>
                <w:noProof/>
                <w:webHidden/>
              </w:rPr>
              <w:fldChar w:fldCharType="end"/>
            </w:r>
          </w:hyperlink>
        </w:p>
        <w:p w14:paraId="4641C6AA" w14:textId="77777777" w:rsidR="008E7AB8" w:rsidRDefault="007A2C7E">
          <w:pPr>
            <w:pStyle w:val="TOC2"/>
            <w:tabs>
              <w:tab w:val="right" w:leader="dot" w:pos="9350"/>
            </w:tabs>
            <w:rPr>
              <w:noProof/>
            </w:rPr>
          </w:pPr>
          <w:hyperlink w:anchor="_Toc321126891" w:history="1">
            <w:r w:rsidR="008E7AB8" w:rsidRPr="00EA394A">
              <w:rPr>
                <w:rStyle w:val="Hyperlink"/>
                <w:noProof/>
              </w:rPr>
              <w:t>Client Connectivity Strategy During Migration</w:t>
            </w:r>
            <w:r w:rsidR="008E7AB8">
              <w:rPr>
                <w:noProof/>
                <w:webHidden/>
              </w:rPr>
              <w:tab/>
            </w:r>
            <w:r w:rsidR="008E7AB8">
              <w:rPr>
                <w:noProof/>
                <w:webHidden/>
              </w:rPr>
              <w:fldChar w:fldCharType="begin"/>
            </w:r>
            <w:r w:rsidR="008E7AB8">
              <w:rPr>
                <w:noProof/>
                <w:webHidden/>
              </w:rPr>
              <w:instrText xml:space="preserve"> PAGEREF _Toc321126891 \h </w:instrText>
            </w:r>
            <w:r w:rsidR="008E7AB8">
              <w:rPr>
                <w:noProof/>
                <w:webHidden/>
              </w:rPr>
            </w:r>
            <w:r w:rsidR="008E7AB8">
              <w:rPr>
                <w:noProof/>
                <w:webHidden/>
              </w:rPr>
              <w:fldChar w:fldCharType="separate"/>
            </w:r>
            <w:r w:rsidR="008E7AB8">
              <w:rPr>
                <w:noProof/>
                <w:webHidden/>
              </w:rPr>
              <w:t>12</w:t>
            </w:r>
            <w:r w:rsidR="008E7AB8">
              <w:rPr>
                <w:noProof/>
                <w:webHidden/>
              </w:rPr>
              <w:fldChar w:fldCharType="end"/>
            </w:r>
          </w:hyperlink>
        </w:p>
        <w:p w14:paraId="646F3AB4" w14:textId="77777777" w:rsidR="008E7AB8" w:rsidRDefault="007A2C7E">
          <w:pPr>
            <w:pStyle w:val="TOC3"/>
            <w:tabs>
              <w:tab w:val="right" w:leader="dot" w:pos="9350"/>
            </w:tabs>
            <w:rPr>
              <w:noProof/>
            </w:rPr>
          </w:pPr>
          <w:hyperlink w:anchor="_Toc321126892" w:history="1">
            <w:r w:rsidR="008E7AB8" w:rsidRPr="00EA394A">
              <w:rPr>
                <w:rStyle w:val="Hyperlink"/>
                <w:noProof/>
              </w:rPr>
              <w:t>Client Connectivity in Migration Without Intermediate Hardware</w:t>
            </w:r>
            <w:r w:rsidR="008E7AB8">
              <w:rPr>
                <w:noProof/>
                <w:webHidden/>
              </w:rPr>
              <w:tab/>
            </w:r>
            <w:r w:rsidR="008E7AB8">
              <w:rPr>
                <w:noProof/>
                <w:webHidden/>
              </w:rPr>
              <w:fldChar w:fldCharType="begin"/>
            </w:r>
            <w:r w:rsidR="008E7AB8">
              <w:rPr>
                <w:noProof/>
                <w:webHidden/>
              </w:rPr>
              <w:instrText xml:space="preserve"> PAGEREF _Toc321126892 \h </w:instrText>
            </w:r>
            <w:r w:rsidR="008E7AB8">
              <w:rPr>
                <w:noProof/>
                <w:webHidden/>
              </w:rPr>
            </w:r>
            <w:r w:rsidR="008E7AB8">
              <w:rPr>
                <w:noProof/>
                <w:webHidden/>
              </w:rPr>
              <w:fldChar w:fldCharType="separate"/>
            </w:r>
            <w:r w:rsidR="008E7AB8">
              <w:rPr>
                <w:noProof/>
                <w:webHidden/>
              </w:rPr>
              <w:t>13</w:t>
            </w:r>
            <w:r w:rsidR="008E7AB8">
              <w:rPr>
                <w:noProof/>
                <w:webHidden/>
              </w:rPr>
              <w:fldChar w:fldCharType="end"/>
            </w:r>
          </w:hyperlink>
        </w:p>
        <w:p w14:paraId="1A2BE828" w14:textId="77777777" w:rsidR="008E7AB8" w:rsidRDefault="007A2C7E">
          <w:pPr>
            <w:pStyle w:val="TOC3"/>
            <w:tabs>
              <w:tab w:val="right" w:leader="dot" w:pos="9350"/>
            </w:tabs>
            <w:rPr>
              <w:noProof/>
            </w:rPr>
          </w:pPr>
          <w:hyperlink w:anchor="_Toc321126893" w:history="1">
            <w:r w:rsidR="008E7AB8" w:rsidRPr="00EA394A">
              <w:rPr>
                <w:rStyle w:val="Hyperlink"/>
                <w:noProof/>
              </w:rPr>
              <w:t>Client Connectivity in Migration with Intermediate Hardware</w:t>
            </w:r>
            <w:r w:rsidR="008E7AB8">
              <w:rPr>
                <w:noProof/>
                <w:webHidden/>
              </w:rPr>
              <w:tab/>
            </w:r>
            <w:r w:rsidR="008E7AB8">
              <w:rPr>
                <w:noProof/>
                <w:webHidden/>
              </w:rPr>
              <w:fldChar w:fldCharType="begin"/>
            </w:r>
            <w:r w:rsidR="008E7AB8">
              <w:rPr>
                <w:noProof/>
                <w:webHidden/>
              </w:rPr>
              <w:instrText xml:space="preserve"> PAGEREF _Toc321126893 \h </w:instrText>
            </w:r>
            <w:r w:rsidR="008E7AB8">
              <w:rPr>
                <w:noProof/>
                <w:webHidden/>
              </w:rPr>
            </w:r>
            <w:r w:rsidR="008E7AB8">
              <w:rPr>
                <w:noProof/>
                <w:webHidden/>
              </w:rPr>
              <w:fldChar w:fldCharType="separate"/>
            </w:r>
            <w:r w:rsidR="008E7AB8">
              <w:rPr>
                <w:noProof/>
                <w:webHidden/>
              </w:rPr>
              <w:t>13</w:t>
            </w:r>
            <w:r w:rsidR="008E7AB8">
              <w:rPr>
                <w:noProof/>
                <w:webHidden/>
              </w:rPr>
              <w:fldChar w:fldCharType="end"/>
            </w:r>
          </w:hyperlink>
        </w:p>
        <w:p w14:paraId="2175F510" w14:textId="77777777" w:rsidR="008E7AB8" w:rsidRDefault="007A2C7E">
          <w:pPr>
            <w:pStyle w:val="TOC1"/>
            <w:tabs>
              <w:tab w:val="right" w:leader="dot" w:pos="9350"/>
            </w:tabs>
            <w:rPr>
              <w:noProof/>
            </w:rPr>
          </w:pPr>
          <w:hyperlink w:anchor="_Toc321126894" w:history="1">
            <w:r w:rsidR="008E7AB8" w:rsidRPr="00EA394A">
              <w:rPr>
                <w:rStyle w:val="Hyperlink"/>
                <w:noProof/>
              </w:rPr>
              <w:t>Conclusion</w:t>
            </w:r>
            <w:r w:rsidR="008E7AB8">
              <w:rPr>
                <w:noProof/>
                <w:webHidden/>
              </w:rPr>
              <w:tab/>
            </w:r>
            <w:r w:rsidR="008E7AB8">
              <w:rPr>
                <w:noProof/>
                <w:webHidden/>
              </w:rPr>
              <w:fldChar w:fldCharType="begin"/>
            </w:r>
            <w:r w:rsidR="008E7AB8">
              <w:rPr>
                <w:noProof/>
                <w:webHidden/>
              </w:rPr>
              <w:instrText xml:space="preserve"> PAGEREF _Toc321126894 \h </w:instrText>
            </w:r>
            <w:r w:rsidR="008E7AB8">
              <w:rPr>
                <w:noProof/>
                <w:webHidden/>
              </w:rPr>
            </w:r>
            <w:r w:rsidR="008E7AB8">
              <w:rPr>
                <w:noProof/>
                <w:webHidden/>
              </w:rPr>
              <w:fldChar w:fldCharType="separate"/>
            </w:r>
            <w:r w:rsidR="008E7AB8">
              <w:rPr>
                <w:noProof/>
                <w:webHidden/>
              </w:rPr>
              <w:t>14</w:t>
            </w:r>
            <w:r w:rsidR="008E7AB8">
              <w:rPr>
                <w:noProof/>
                <w:webHidden/>
              </w:rPr>
              <w:fldChar w:fldCharType="end"/>
            </w:r>
          </w:hyperlink>
        </w:p>
        <w:p w14:paraId="7AEBF635" w14:textId="77777777" w:rsidR="001D0985" w:rsidRDefault="001D0985" w:rsidP="001D0985">
          <w:r>
            <w:fldChar w:fldCharType="end"/>
          </w:r>
        </w:p>
      </w:sdtContent>
    </w:sdt>
    <w:p w14:paraId="49515C45" w14:textId="77777777" w:rsidR="001D0985" w:rsidRDefault="001D0985" w:rsidP="001D0985">
      <w:pPr>
        <w:rPr>
          <w:rFonts w:asciiTheme="majorHAnsi" w:eastAsiaTheme="majorEastAsia" w:hAnsiTheme="majorHAnsi" w:cstheme="majorBidi"/>
          <w:b/>
          <w:bCs/>
          <w:color w:val="365F91" w:themeColor="accent1" w:themeShade="BF"/>
          <w:sz w:val="28"/>
          <w:szCs w:val="28"/>
        </w:rPr>
      </w:pPr>
      <w:r>
        <w:br w:type="page"/>
      </w:r>
    </w:p>
    <w:p w14:paraId="514D9736" w14:textId="77777777" w:rsidR="001D0985" w:rsidRDefault="001D0985" w:rsidP="001D0985">
      <w:pPr>
        <w:pStyle w:val="Heading1"/>
      </w:pPr>
      <w:bookmarkStart w:id="8" w:name="_Toc321126883"/>
      <w:r>
        <w:lastRenderedPageBreak/>
        <w:t>Introduction</w:t>
      </w:r>
      <w:bookmarkEnd w:id="8"/>
    </w:p>
    <w:p w14:paraId="28AECBC9" w14:textId="1828E6F4" w:rsidR="001D0985" w:rsidRDefault="001D0985" w:rsidP="001D0985">
      <w:r>
        <w:t>Many Tier-1 database solutions implement SQL Server Failover Clustering for high availability and database mirroring for disaster recovery. As Part I of a two-part series, this paper attempts to give you comprehensive guidance on what the SQL Server 2012 implementation looks like and how to get there. It describes the common migration paths and points out the important considerations you must have for a successful adoption of high availability and disaster recovery (HADR) with SQL Server 2012. Part II</w:t>
      </w:r>
      <w:r w:rsidR="00675EBB">
        <w:t xml:space="preserve"> (ht</w:t>
      </w:r>
      <w:r w:rsidR="00675EBB" w:rsidRPr="00675EBB">
        <w:t>tp://msdn.microsoft.com/en-us/library/hh921498</w:t>
      </w:r>
      <w:r w:rsidR="00675EBB">
        <w:t>)</w:t>
      </w:r>
      <w:r>
        <w:t xml:space="preserve"> of this series will provide an end-to-end walkthrough of an actual migration scenario.</w:t>
      </w:r>
    </w:p>
    <w:p w14:paraId="54CC9757" w14:textId="77777777" w:rsidR="001D0985" w:rsidRDefault="001D0985" w:rsidP="001D0985">
      <w:pPr>
        <w:rPr>
          <w:rFonts w:ascii="Arial" w:hAnsi="Arial" w:cs="Arial"/>
          <w:highlight w:val="yellow"/>
        </w:rPr>
      </w:pPr>
      <w:r>
        <w:t xml:space="preserve">This paper provides the “How” rather than the “Why” of migration to SQL Server </w:t>
      </w:r>
      <w:proofErr w:type="spellStart"/>
      <w:r>
        <w:t>AlwaysOn</w:t>
      </w:r>
      <w:proofErr w:type="spellEnd"/>
      <w:r>
        <w:t xml:space="preserve">. For more information about the “Why”, including the features and capabilities of SQL Server </w:t>
      </w:r>
      <w:proofErr w:type="spellStart"/>
      <w:r>
        <w:t>AlwaysOn</w:t>
      </w:r>
      <w:proofErr w:type="spellEnd"/>
      <w:r>
        <w:t xml:space="preserve">, see </w:t>
      </w:r>
      <w:hyperlink r:id="rId13" w:history="1">
        <w:r>
          <w:rPr>
            <w:rStyle w:val="Hyperlink"/>
          </w:rPr>
          <w:t>Microsoft SQL Server AlwaysOn Solutions Guide for High Availability and Disaster Recovery</w:t>
        </w:r>
      </w:hyperlink>
      <w:r>
        <w:t xml:space="preserve"> (http://msdn.microsoft.com/en-us/library/hh781257.aspx).</w:t>
      </w:r>
    </w:p>
    <w:p w14:paraId="47D6BCB9" w14:textId="77777777" w:rsidR="001D0985" w:rsidRDefault="001D0985" w:rsidP="001D0985">
      <w:r>
        <w:rPr>
          <w:b/>
        </w:rPr>
        <w:t>Note</w:t>
      </w:r>
      <w:r>
        <w:t xml:space="preserve">: SQL Server Failover Clustering has been renamed </w:t>
      </w:r>
      <w:proofErr w:type="spellStart"/>
      <w:r>
        <w:t>AlwaysOn</w:t>
      </w:r>
      <w:proofErr w:type="spellEnd"/>
      <w:r>
        <w:t xml:space="preserve"> Failover Cluster Instances (FCI) for SQL Server 2012. </w:t>
      </w:r>
      <w:proofErr w:type="spellStart"/>
      <w:r>
        <w:t>AlwaysOn</w:t>
      </w:r>
      <w:proofErr w:type="spellEnd"/>
      <w:r>
        <w:t xml:space="preserve"> FCI contains features and improvements that can be leveraged for faster performance, higher up time, reliable failure detection and diagnostics, predictable failovers, and much better resource utilization. For simplicity, the term </w:t>
      </w:r>
      <w:r>
        <w:rPr>
          <w:i/>
        </w:rPr>
        <w:t>FCI</w:t>
      </w:r>
      <w:r>
        <w:t xml:space="preserve"> in this paper applies to both SQL Server Failover Clustering (prior to SQL Server 2012) and </w:t>
      </w:r>
      <w:proofErr w:type="spellStart"/>
      <w:r>
        <w:t>AlwaysOn</w:t>
      </w:r>
      <w:proofErr w:type="spellEnd"/>
      <w:r>
        <w:t xml:space="preserve"> FCI in (SQL Server 2012). </w:t>
      </w:r>
    </w:p>
    <w:p w14:paraId="1412D010" w14:textId="77777777" w:rsidR="001D0985" w:rsidRDefault="001D0985" w:rsidP="001D0985">
      <w:pPr>
        <w:pStyle w:val="Heading1"/>
      </w:pPr>
      <w:bookmarkStart w:id="9" w:name="_Toc321126884"/>
      <w:r>
        <w:t xml:space="preserve">Migration Path to SQL Server 2012 </w:t>
      </w:r>
      <w:proofErr w:type="spellStart"/>
      <w:r>
        <w:t>AlwaysOn</w:t>
      </w:r>
      <w:bookmarkEnd w:id="9"/>
      <w:proofErr w:type="spellEnd"/>
    </w:p>
    <w:p w14:paraId="30C4BAE6" w14:textId="77777777" w:rsidR="001D0985" w:rsidRDefault="001D0985" w:rsidP="001D0985">
      <w:r>
        <w:t xml:space="preserve">This paper focuses on the following high availability and disaster recovery scenario, in which FCIs are deployed for local high availability and database mirroring is deployed for remote disaster recovery. This configuration is the “Point A” in the migration scenario this paper discusses. </w:t>
      </w:r>
      <w:r>
        <w:fldChar w:fldCharType="begin"/>
      </w:r>
      <w:r>
        <w:instrText xml:space="preserve"> REF _Ref316984492 \h </w:instrText>
      </w:r>
      <w:r>
        <w:fldChar w:fldCharType="separate"/>
      </w:r>
      <w:r>
        <w:t xml:space="preserve">Figure </w:t>
      </w:r>
      <w:r>
        <w:rPr>
          <w:noProof/>
        </w:rPr>
        <w:t>1</w:t>
      </w:r>
      <w:r>
        <w:fldChar w:fldCharType="end"/>
      </w:r>
      <w:r>
        <w:t xml:space="preserve"> shows the deployment architecture.</w:t>
      </w:r>
    </w:p>
    <w:p w14:paraId="0642CF2B" w14:textId="77777777" w:rsidR="001D0985" w:rsidRDefault="001D0985" w:rsidP="001D0985">
      <w:pPr>
        <w:keepNext/>
      </w:pPr>
      <w:r>
        <w:t xml:space="preserve"> </w:t>
      </w:r>
      <w:r>
        <w:object w:dxaOrig="7710" w:dyaOrig="3165" w14:anchorId="3005D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58.25pt" o:ole="">
            <v:imagedata r:id="rId14" o:title=""/>
          </v:shape>
          <o:OLEObject Type="Embed" ProgID="Visio.Drawing.11" ShapeID="_x0000_i1025" DrawAspect="Content" ObjectID="_1422076324" r:id="rId15"/>
        </w:object>
      </w:r>
    </w:p>
    <w:p w14:paraId="4C124E48" w14:textId="77777777" w:rsidR="001D0985" w:rsidRDefault="001D0985" w:rsidP="001D0985">
      <w:pPr>
        <w:pStyle w:val="Caption"/>
      </w:pPr>
      <w:bookmarkStart w:id="10" w:name="_Ref316984492"/>
      <w:r>
        <w:t xml:space="preserve">Figure </w:t>
      </w:r>
      <w:r w:rsidR="007A2C7E">
        <w:fldChar w:fldCharType="begin"/>
      </w:r>
      <w:r w:rsidR="007A2C7E">
        <w:instrText xml:space="preserve"> SEQ Figure \* ARABIC </w:instrText>
      </w:r>
      <w:r w:rsidR="007A2C7E">
        <w:fldChar w:fldCharType="separate"/>
      </w:r>
      <w:r>
        <w:rPr>
          <w:noProof/>
        </w:rPr>
        <w:t>1</w:t>
      </w:r>
      <w:r w:rsidR="007A2C7E">
        <w:rPr>
          <w:noProof/>
        </w:rPr>
        <w:fldChar w:fldCharType="end"/>
      </w:r>
      <w:bookmarkEnd w:id="10"/>
      <w:r>
        <w:rPr>
          <w:b w:val="0"/>
        </w:rPr>
        <w:t xml:space="preserve">  A Typical HADR deployment involving FCIs and database mirroring</w:t>
      </w:r>
    </w:p>
    <w:p w14:paraId="7551F9B1" w14:textId="77777777" w:rsidR="001D0985" w:rsidRDefault="001D0985" w:rsidP="001D0985">
      <w:r>
        <w:t xml:space="preserve">The corresponding solution in SQL Server 2012 is to deploy </w:t>
      </w:r>
      <w:proofErr w:type="spellStart"/>
      <w:r>
        <w:t>AlwaysOn</w:t>
      </w:r>
      <w:proofErr w:type="spellEnd"/>
      <w:r>
        <w:t xml:space="preserve"> FCIs for local high availability and </w:t>
      </w:r>
      <w:proofErr w:type="spellStart"/>
      <w:r>
        <w:t>AlwaysOn</w:t>
      </w:r>
      <w:proofErr w:type="spellEnd"/>
      <w:r>
        <w:t xml:space="preserve"> Availability Groups for disaster recovery. This is the “Point B” in the migration scenario. The post-migration architecture is shown in </w:t>
      </w:r>
      <w:r>
        <w:fldChar w:fldCharType="begin"/>
      </w:r>
      <w:r>
        <w:instrText xml:space="preserve"> REF _Ref316984509 \h </w:instrText>
      </w:r>
      <w:r>
        <w:fldChar w:fldCharType="separate"/>
      </w:r>
      <w:r>
        <w:t xml:space="preserve">Figure </w:t>
      </w:r>
      <w:r>
        <w:rPr>
          <w:noProof/>
        </w:rPr>
        <w:t>2</w:t>
      </w:r>
      <w:r>
        <w:fldChar w:fldCharType="end"/>
      </w:r>
      <w:r>
        <w:t>.</w:t>
      </w:r>
    </w:p>
    <w:p w14:paraId="64E4FDD3" w14:textId="77777777" w:rsidR="001D0985" w:rsidRDefault="001D0985" w:rsidP="001D0985">
      <w:pPr>
        <w:keepNext/>
      </w:pPr>
      <w:r>
        <w:object w:dxaOrig="7710" w:dyaOrig="3165" w14:anchorId="6B3ED120">
          <v:shape id="_x0000_i1026" type="#_x0000_t75" style="width:385.5pt;height:158.25pt" o:ole="">
            <v:imagedata r:id="rId16" o:title=""/>
          </v:shape>
          <o:OLEObject Type="Embed" ProgID="Visio.Drawing.11" ShapeID="_x0000_i1026" DrawAspect="Content" ObjectID="_1422076325" r:id="rId17"/>
        </w:object>
      </w:r>
    </w:p>
    <w:p w14:paraId="3FEA71AD" w14:textId="77777777" w:rsidR="001D0985" w:rsidRDefault="001D0985" w:rsidP="001D0985">
      <w:pPr>
        <w:pStyle w:val="Caption"/>
      </w:pPr>
      <w:bookmarkStart w:id="11" w:name="_Ref316984509"/>
      <w:r>
        <w:t xml:space="preserve">Figure </w:t>
      </w:r>
      <w:r w:rsidR="00A31058">
        <w:fldChar w:fldCharType="begin"/>
      </w:r>
      <w:r w:rsidR="00A31058">
        <w:instrText xml:space="preserve"> SEQ Figure \* ARABIC </w:instrText>
      </w:r>
      <w:r w:rsidR="00A31058">
        <w:fldChar w:fldCharType="separate"/>
      </w:r>
      <w:proofErr w:type="gramStart"/>
      <w:r>
        <w:rPr>
          <w:noProof/>
        </w:rPr>
        <w:t>2</w:t>
      </w:r>
      <w:r w:rsidR="00A31058">
        <w:rPr>
          <w:noProof/>
        </w:rPr>
        <w:fldChar w:fldCharType="end"/>
      </w:r>
      <w:bookmarkEnd w:id="11"/>
      <w:r>
        <w:rPr>
          <w:b w:val="0"/>
        </w:rPr>
        <w:t xml:space="preserve">  HADR deployment</w:t>
      </w:r>
      <w:proofErr w:type="gramEnd"/>
      <w:r>
        <w:rPr>
          <w:b w:val="0"/>
        </w:rPr>
        <w:t xml:space="preserve"> in SQL Server 2012 involving FCIs and availability groups</w:t>
      </w:r>
    </w:p>
    <w:p w14:paraId="2017D483" w14:textId="77777777" w:rsidR="001D0985" w:rsidRDefault="001D0985" w:rsidP="001D0985">
      <w:r>
        <w:t>There are two main approaches to migrate to an FCI and availability group solution in SQL Server 2012. With either approach, you should plan your migration steps to minimize application down time and to safeguard the integrity of your data. The pros and cons of each option are shown in the following table.</w:t>
      </w:r>
    </w:p>
    <w:tbl>
      <w:tblPr>
        <w:tblStyle w:val="MtpsTableHeadered"/>
        <w:tblW w:w="0" w:type="auto"/>
        <w:tblLook w:val="04A0" w:firstRow="1" w:lastRow="0" w:firstColumn="1" w:lastColumn="0" w:noHBand="0" w:noVBand="1"/>
      </w:tblPr>
      <w:tblGrid>
        <w:gridCol w:w="4779"/>
        <w:gridCol w:w="4779"/>
      </w:tblGrid>
      <w:tr w:rsidR="001D0985" w14:paraId="725D5044" w14:textId="77777777" w:rsidTr="001D0985">
        <w:trPr>
          <w:cnfStyle w:val="100000000000" w:firstRow="1" w:lastRow="0" w:firstColumn="0" w:lastColumn="0" w:oddVBand="0" w:evenVBand="0" w:oddHBand="0" w:evenHBand="0" w:firstRowFirstColumn="0" w:firstRowLastColumn="0" w:lastRowFirstColumn="0" w:lastRowLastColumn="0"/>
        </w:trPr>
        <w:tc>
          <w:tcPr>
            <w:tcW w:w="4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D407730" w14:textId="77777777" w:rsidR="001D0985" w:rsidRDefault="001D0985">
            <w:r>
              <w:t>Migration without intermediate hardware</w:t>
            </w:r>
          </w:p>
        </w:tc>
        <w:tc>
          <w:tcPr>
            <w:tcW w:w="4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3D293EDC" w14:textId="77777777" w:rsidR="001D0985" w:rsidRDefault="001D0985">
            <w:r>
              <w:t>Migration with intermediate hardware</w:t>
            </w:r>
          </w:p>
        </w:tc>
      </w:tr>
      <w:tr w:rsidR="001D0985" w14:paraId="5D7955CC" w14:textId="77777777" w:rsidTr="001D0985">
        <w:tc>
          <w:tcPr>
            <w:tcW w:w="4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00DD3273" w14:textId="77777777" w:rsidR="001D0985" w:rsidRDefault="001D0985" w:rsidP="001D0985">
            <w:pPr>
              <w:pStyle w:val="ListParagraph"/>
              <w:numPr>
                <w:ilvl w:val="0"/>
                <w:numId w:val="10"/>
              </w:numPr>
            </w:pPr>
            <w:r>
              <w:t>Simpler</w:t>
            </w:r>
          </w:p>
          <w:p w14:paraId="40E50F10" w14:textId="77777777" w:rsidR="001D0985" w:rsidRDefault="001D0985" w:rsidP="001D0985">
            <w:pPr>
              <w:pStyle w:val="ListParagraph"/>
              <w:numPr>
                <w:ilvl w:val="0"/>
                <w:numId w:val="10"/>
              </w:numPr>
            </w:pPr>
            <w:r>
              <w:t>No redundancy or data protection at various points during migration</w:t>
            </w:r>
          </w:p>
          <w:p w14:paraId="2E7FB5E0" w14:textId="77777777" w:rsidR="001D0985" w:rsidRDefault="001D0985" w:rsidP="001D0985">
            <w:pPr>
              <w:pStyle w:val="ListParagraph"/>
              <w:numPr>
                <w:ilvl w:val="0"/>
                <w:numId w:val="10"/>
              </w:numPr>
            </w:pPr>
            <w:r>
              <w:t>Requires client reconfiguration during migration</w:t>
            </w:r>
          </w:p>
        </w:tc>
        <w:tc>
          <w:tcPr>
            <w:tcW w:w="4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7471283D" w14:textId="77777777" w:rsidR="001D0985" w:rsidRDefault="001D0985" w:rsidP="001D0985">
            <w:pPr>
              <w:pStyle w:val="ListParagraph"/>
              <w:numPr>
                <w:ilvl w:val="0"/>
                <w:numId w:val="11"/>
              </w:numPr>
            </w:pPr>
            <w:r>
              <w:t>Involves more steps</w:t>
            </w:r>
          </w:p>
          <w:p w14:paraId="3421B282" w14:textId="77777777" w:rsidR="001D0985" w:rsidRDefault="001D0985" w:rsidP="001D0985">
            <w:pPr>
              <w:pStyle w:val="ListParagraph"/>
              <w:keepNext/>
              <w:numPr>
                <w:ilvl w:val="0"/>
                <w:numId w:val="11"/>
              </w:numPr>
            </w:pPr>
            <w:r>
              <w:t>Preserves high availability and/or disaster recovery capabilities during migration</w:t>
            </w:r>
          </w:p>
          <w:p w14:paraId="0BC9F2EE" w14:textId="77777777" w:rsidR="001D0985" w:rsidRDefault="001D0985" w:rsidP="001D0985">
            <w:pPr>
              <w:pStyle w:val="ListParagraph"/>
              <w:keepNext/>
              <w:numPr>
                <w:ilvl w:val="0"/>
                <w:numId w:val="11"/>
              </w:numPr>
            </w:pPr>
            <w:r>
              <w:t>Requires client reconfiguration during migration</w:t>
            </w:r>
          </w:p>
        </w:tc>
      </w:tr>
    </w:tbl>
    <w:p w14:paraId="12DD5BF0" w14:textId="77777777" w:rsidR="001D0985" w:rsidRDefault="001D0985" w:rsidP="001D0985">
      <w:pPr>
        <w:pStyle w:val="Caption"/>
      </w:pPr>
      <w:r>
        <w:t xml:space="preserve">Table </w:t>
      </w:r>
      <w:r w:rsidR="007A2C7E">
        <w:fldChar w:fldCharType="begin"/>
      </w:r>
      <w:r w:rsidR="007A2C7E">
        <w:instrText xml:space="preserve"> SEQ Table \* ARABIC </w:instrText>
      </w:r>
      <w:r w:rsidR="007A2C7E">
        <w:fldChar w:fldCharType="separate"/>
      </w:r>
      <w:r>
        <w:rPr>
          <w:noProof/>
        </w:rPr>
        <w:t>1</w:t>
      </w:r>
      <w:r w:rsidR="007A2C7E">
        <w:rPr>
          <w:noProof/>
        </w:rPr>
        <w:fldChar w:fldCharType="end"/>
      </w:r>
      <w:r>
        <w:rPr>
          <w:b w:val="0"/>
        </w:rPr>
        <w:t xml:space="preserve">  Main migration paths from FCIs and mirroring to SQL Server </w:t>
      </w:r>
      <w:proofErr w:type="spellStart"/>
      <w:r>
        <w:rPr>
          <w:b w:val="0"/>
        </w:rPr>
        <w:t>AlwaysOn</w:t>
      </w:r>
      <w:proofErr w:type="spellEnd"/>
    </w:p>
    <w:p w14:paraId="511CBE15" w14:textId="77777777" w:rsidR="001D0985" w:rsidRDefault="001D0985" w:rsidP="001D0985">
      <w:pPr>
        <w:pStyle w:val="Heading2"/>
      </w:pPr>
      <w:bookmarkStart w:id="12" w:name="_Ref316303695"/>
      <w:bookmarkStart w:id="13" w:name="_Toc321126885"/>
      <w:r>
        <w:t xml:space="preserve">Migration </w:t>
      </w:r>
      <w:proofErr w:type="gramStart"/>
      <w:r>
        <w:t>Without</w:t>
      </w:r>
      <w:proofErr w:type="gramEnd"/>
      <w:r>
        <w:t xml:space="preserve"> Intermediate Hardware</w:t>
      </w:r>
      <w:bookmarkEnd w:id="12"/>
      <w:bookmarkEnd w:id="13"/>
    </w:p>
    <w:p w14:paraId="56B518CC" w14:textId="77777777" w:rsidR="001D0985" w:rsidRDefault="001D0985" w:rsidP="001D0985">
      <w:r>
        <w:t xml:space="preserve">Migration to SQL Server </w:t>
      </w:r>
      <w:proofErr w:type="spellStart"/>
      <w:r>
        <w:t>AlwaysOn</w:t>
      </w:r>
      <w:proofErr w:type="spellEnd"/>
      <w:r>
        <w:t xml:space="preserve"> without intermediate hardware is the simpler path, and as the title implies, it uses fewer resources, but at the loss of redundancy and data protection during migration. It does not mean that your system will suffer significant down time, but your active nodes may become the single point of failure at various points of the migration sequence. </w:t>
      </w:r>
    </w:p>
    <w:p w14:paraId="7C853CE5" w14:textId="77777777" w:rsidR="001D0985" w:rsidRDefault="001D0985" w:rsidP="001D0985">
      <w:r>
        <w:t>The general outline of the migration sequence is as follows:</w:t>
      </w:r>
    </w:p>
    <w:p w14:paraId="1E7E27E3" w14:textId="77777777" w:rsidR="001D0985" w:rsidRDefault="001D0985" w:rsidP="001D0985">
      <w:pPr>
        <w:pStyle w:val="ListParagraph"/>
        <w:numPr>
          <w:ilvl w:val="0"/>
          <w:numId w:val="12"/>
        </w:numPr>
      </w:pPr>
      <w:r>
        <w:t xml:space="preserve">Upgrade all secondary FCI nodes on the primary site (FCI1), as shown in </w:t>
      </w:r>
      <w:r>
        <w:fldChar w:fldCharType="begin"/>
      </w:r>
      <w:r>
        <w:instrText xml:space="preserve"> REF _Ref316985546 \h </w:instrText>
      </w:r>
      <w:r>
        <w:fldChar w:fldCharType="separate"/>
      </w:r>
      <w:r>
        <w:t xml:space="preserve">Figure </w:t>
      </w:r>
      <w:r>
        <w:rPr>
          <w:noProof/>
        </w:rPr>
        <w:t>3</w:t>
      </w:r>
      <w:r>
        <w:fldChar w:fldCharType="end"/>
      </w:r>
      <w:r>
        <w:t>.</w:t>
      </w:r>
    </w:p>
    <w:p w14:paraId="68CCEB55" w14:textId="77777777" w:rsidR="001D0985" w:rsidRDefault="001D0985" w:rsidP="001D0985">
      <w:pPr>
        <w:pStyle w:val="ListParagraph"/>
        <w:keepNext/>
      </w:pPr>
      <w:r>
        <w:object w:dxaOrig="8625" w:dyaOrig="2235" w14:anchorId="63E9A75E">
          <v:shape id="_x0000_i1027" type="#_x0000_t75" style="width:431.25pt;height:111.75pt" o:ole="">
            <v:imagedata r:id="rId18" o:title=""/>
          </v:shape>
          <o:OLEObject Type="Embed" ProgID="Visio.Drawing.11" ShapeID="_x0000_i1027" DrawAspect="Content" ObjectID="_1422076326" r:id="rId19"/>
        </w:object>
      </w:r>
    </w:p>
    <w:p w14:paraId="186CFABE" w14:textId="77777777" w:rsidR="001D0985" w:rsidRDefault="001D0985" w:rsidP="001D0985">
      <w:pPr>
        <w:pStyle w:val="Caption"/>
        <w:ind w:left="720"/>
      </w:pPr>
      <w:bookmarkStart w:id="14" w:name="_Ref316985546"/>
      <w:r>
        <w:t xml:space="preserve">Figure </w:t>
      </w:r>
      <w:r w:rsidR="007A2C7E">
        <w:fldChar w:fldCharType="begin"/>
      </w:r>
      <w:r w:rsidR="007A2C7E">
        <w:instrText xml:space="preserve"> SEQ Figure \* ARABIC </w:instrText>
      </w:r>
      <w:r w:rsidR="007A2C7E">
        <w:fldChar w:fldCharType="separate"/>
      </w:r>
      <w:r>
        <w:rPr>
          <w:noProof/>
        </w:rPr>
        <w:t>3</w:t>
      </w:r>
      <w:r w:rsidR="007A2C7E">
        <w:rPr>
          <w:noProof/>
        </w:rPr>
        <w:fldChar w:fldCharType="end"/>
      </w:r>
      <w:bookmarkEnd w:id="14"/>
      <w:r>
        <w:rPr>
          <w:b w:val="0"/>
        </w:rPr>
        <w:t xml:space="preserve">  Upgrade the secondary nodes on the primary site</w:t>
      </w:r>
    </w:p>
    <w:p w14:paraId="27DBFCDA" w14:textId="77777777" w:rsidR="001D0985" w:rsidRDefault="001D0985" w:rsidP="001D0985">
      <w:pPr>
        <w:pStyle w:val="ListParagraph"/>
        <w:numPr>
          <w:ilvl w:val="0"/>
          <w:numId w:val="12"/>
        </w:numPr>
      </w:pPr>
      <w:r>
        <w:lastRenderedPageBreak/>
        <w:t xml:space="preserve">Fail over to one of the upgraded nodes in FCI1, and then upgrade the previous primary node in FCI1, as shown in </w:t>
      </w:r>
      <w:r>
        <w:fldChar w:fldCharType="begin"/>
      </w:r>
      <w:r>
        <w:instrText xml:space="preserve"> REF _Ref316985574 \h </w:instrText>
      </w:r>
      <w:r>
        <w:fldChar w:fldCharType="separate"/>
      </w:r>
      <w:r>
        <w:t xml:space="preserve">Figure </w:t>
      </w:r>
      <w:r>
        <w:rPr>
          <w:noProof/>
        </w:rPr>
        <w:t>4</w:t>
      </w:r>
      <w:r>
        <w:fldChar w:fldCharType="end"/>
      </w:r>
      <w:r>
        <w:t>. The databases are automatically upgraded to SQL Server 2012 when the upgraded instance is started at the end of the failover process. Client applications will experience a period of down time while your databases are being upgraded.</w:t>
      </w:r>
    </w:p>
    <w:p w14:paraId="3D800904" w14:textId="77777777" w:rsidR="001D0985" w:rsidRDefault="001D0985" w:rsidP="001D0985">
      <w:pPr>
        <w:ind w:left="720"/>
      </w:pPr>
      <w:r>
        <w:rPr>
          <w:b/>
        </w:rPr>
        <w:t>Important</w:t>
      </w:r>
      <w:r>
        <w:t>: After this step completes, you will not have data movement from the new SQL Server 2012 FCI to the remote FCI (FCI2), because FCI2 is running an older version of SQL Server. The difference in versions causes logs to be accumulated on FCI1, which cannot be truncated until data movement is resumed. To prevent your logs from filling up the log disk space, perform the next step immediately.</w:t>
      </w:r>
    </w:p>
    <w:p w14:paraId="73E6C5C7" w14:textId="77777777" w:rsidR="001D0985" w:rsidRDefault="001D0985" w:rsidP="001D0985">
      <w:pPr>
        <w:pStyle w:val="ListParagraph"/>
        <w:keepNext/>
      </w:pPr>
      <w:r>
        <w:object w:dxaOrig="8625" w:dyaOrig="2145" w14:anchorId="15C6ACF9">
          <v:shape id="_x0000_i1028" type="#_x0000_t75" style="width:431.25pt;height:107.25pt" o:ole="">
            <v:imagedata r:id="rId20" o:title=""/>
          </v:shape>
          <o:OLEObject Type="Embed" ProgID="Visio.Drawing.11" ShapeID="_x0000_i1028" DrawAspect="Content" ObjectID="_1422076327" r:id="rId21"/>
        </w:object>
      </w:r>
    </w:p>
    <w:p w14:paraId="773E4FA3" w14:textId="77777777" w:rsidR="001D0985" w:rsidRDefault="001D0985" w:rsidP="001D0985">
      <w:pPr>
        <w:pStyle w:val="Caption"/>
        <w:ind w:left="720"/>
      </w:pPr>
      <w:bookmarkStart w:id="15" w:name="_Ref316985574"/>
      <w:r>
        <w:t xml:space="preserve">Figure </w:t>
      </w:r>
      <w:r w:rsidR="007A2C7E">
        <w:fldChar w:fldCharType="begin"/>
      </w:r>
      <w:r w:rsidR="007A2C7E">
        <w:instrText xml:space="preserve"> SEQ Figure \* ARABIC </w:instrText>
      </w:r>
      <w:r w:rsidR="007A2C7E">
        <w:fldChar w:fldCharType="separate"/>
      </w:r>
      <w:r>
        <w:rPr>
          <w:noProof/>
        </w:rPr>
        <w:t>4</w:t>
      </w:r>
      <w:r w:rsidR="007A2C7E">
        <w:rPr>
          <w:noProof/>
        </w:rPr>
        <w:fldChar w:fldCharType="end"/>
      </w:r>
      <w:bookmarkEnd w:id="15"/>
      <w:r>
        <w:rPr>
          <w:b w:val="0"/>
        </w:rPr>
        <w:t xml:space="preserve">  Upgrade the remaining node on the primary site</w:t>
      </w:r>
    </w:p>
    <w:p w14:paraId="2C82133B" w14:textId="77777777" w:rsidR="001D0985" w:rsidRDefault="001D0985" w:rsidP="001D0985">
      <w:pPr>
        <w:pStyle w:val="ListParagraph"/>
        <w:numPr>
          <w:ilvl w:val="0"/>
          <w:numId w:val="12"/>
        </w:numPr>
      </w:pPr>
      <w:r>
        <w:t xml:space="preserve">Remove the database mirroring configuration and reconfigure FCI2 by joining the server nodes to the Windows Server Failover Clustering (WSFC) cluster on the primary site and reinstalling a new FCI2, as shown in </w:t>
      </w:r>
      <w:r>
        <w:fldChar w:fldCharType="begin"/>
      </w:r>
      <w:r>
        <w:instrText xml:space="preserve"> REF _Ref316985606 \h </w:instrText>
      </w:r>
      <w:r>
        <w:fldChar w:fldCharType="separate"/>
      </w:r>
      <w:r>
        <w:t xml:space="preserve">Figure </w:t>
      </w:r>
      <w:r>
        <w:rPr>
          <w:noProof/>
        </w:rPr>
        <w:t>5</w:t>
      </w:r>
      <w:r>
        <w:fldChar w:fldCharType="end"/>
      </w:r>
      <w:r>
        <w:t>. You will need to completely remove the existing FCI2 because the underlying WSFC cluster must be destroyed in order for the nodes to be joined to the WSFC cluster for FCI1. It may be more efficient to completely reinstall Windows.</w:t>
      </w:r>
    </w:p>
    <w:p w14:paraId="15289162" w14:textId="77777777" w:rsidR="001D0985" w:rsidRDefault="001D0985" w:rsidP="001D0985">
      <w:pPr>
        <w:ind w:left="720"/>
      </w:pPr>
      <w:r>
        <w:rPr>
          <w:b/>
        </w:rPr>
        <w:t>Important</w:t>
      </w:r>
      <w:r>
        <w:t xml:space="preserve">: Joining the server nodes to the WSFC cluster also means that you must reconsider your quorum model to maintain optimal WSFC quorum health both when and after adding the nodes. For more information, see the </w:t>
      </w:r>
      <w:r>
        <w:rPr>
          <w:b/>
        </w:rPr>
        <w:t>WSFC Quorum Modes and Voting Configuration</w:t>
      </w:r>
      <w:r>
        <w:t xml:space="preserve"> section in </w:t>
      </w:r>
      <w:hyperlink r:id="rId22" w:history="1">
        <w:r>
          <w:rPr>
            <w:rStyle w:val="Hyperlink"/>
          </w:rPr>
          <w:t>Microsoft SQL Server AlwaysOn Solutions Guide for High Availability and Disaster Recovery</w:t>
        </w:r>
      </w:hyperlink>
      <w:r>
        <w:t xml:space="preserve"> (http://msdn.microsoft.com/en-us/library/hh781257.aspx).</w:t>
      </w:r>
    </w:p>
    <w:p w14:paraId="505E1300" w14:textId="77777777" w:rsidR="001D0985" w:rsidRDefault="001D0985" w:rsidP="001D0985">
      <w:pPr>
        <w:pStyle w:val="ListParagraph"/>
        <w:keepNext/>
      </w:pPr>
      <w:r>
        <w:object w:dxaOrig="8625" w:dyaOrig="2250" w14:anchorId="01E68E8C">
          <v:shape id="_x0000_i1029" type="#_x0000_t75" style="width:431.25pt;height:112.5pt" o:ole="">
            <v:imagedata r:id="rId23" o:title=""/>
          </v:shape>
          <o:OLEObject Type="Embed" ProgID="Visio.Drawing.11" ShapeID="_x0000_i1029" DrawAspect="Content" ObjectID="_1422076328" r:id="rId24"/>
        </w:object>
      </w:r>
    </w:p>
    <w:p w14:paraId="440BBBE5" w14:textId="77777777" w:rsidR="001D0985" w:rsidRDefault="001D0985" w:rsidP="001D0985">
      <w:pPr>
        <w:pStyle w:val="Caption"/>
        <w:tabs>
          <w:tab w:val="left" w:pos="4356"/>
          <w:tab w:val="center" w:pos="5040"/>
          <w:tab w:val="left" w:pos="5724"/>
        </w:tabs>
        <w:ind w:left="720"/>
      </w:pPr>
      <w:bookmarkStart w:id="16" w:name="_Ref316985606"/>
      <w:r>
        <w:t xml:space="preserve">Figure </w:t>
      </w:r>
      <w:r w:rsidR="007A2C7E">
        <w:fldChar w:fldCharType="begin"/>
      </w:r>
      <w:r w:rsidR="007A2C7E">
        <w:instrText xml:space="preserve"> SEQ Figure \* ARABIC </w:instrText>
      </w:r>
      <w:r w:rsidR="007A2C7E">
        <w:fldChar w:fldCharType="separate"/>
      </w:r>
      <w:r>
        <w:rPr>
          <w:noProof/>
        </w:rPr>
        <w:t>5</w:t>
      </w:r>
      <w:r w:rsidR="007A2C7E">
        <w:rPr>
          <w:noProof/>
        </w:rPr>
        <w:fldChar w:fldCharType="end"/>
      </w:r>
      <w:bookmarkEnd w:id="16"/>
      <w:r>
        <w:rPr>
          <w:b w:val="0"/>
        </w:rPr>
        <w:t xml:space="preserve">  Reconfigure the remote site</w:t>
      </w:r>
      <w:r>
        <w:rPr>
          <w:b w:val="0"/>
        </w:rPr>
        <w:tab/>
      </w:r>
      <w:r>
        <w:rPr>
          <w:b w:val="0"/>
        </w:rPr>
        <w:tab/>
      </w:r>
      <w:r>
        <w:rPr>
          <w:b w:val="0"/>
        </w:rPr>
        <w:tab/>
      </w:r>
    </w:p>
    <w:p w14:paraId="11341251" w14:textId="77777777" w:rsidR="001D0985" w:rsidRDefault="001D0985" w:rsidP="001D0985">
      <w:pPr>
        <w:ind w:left="720"/>
      </w:pPr>
      <w:r>
        <w:rPr>
          <w:b/>
        </w:rPr>
        <w:lastRenderedPageBreak/>
        <w:t>Note</w:t>
      </w:r>
      <w:r>
        <w:t xml:space="preserve">: After you remove database mirroring, clients that connect with the </w:t>
      </w:r>
      <w:proofErr w:type="spellStart"/>
      <w:r>
        <w:rPr>
          <w:rFonts w:ascii="Courier New" w:hAnsi="Courier New" w:cs="Courier New"/>
          <w:sz w:val="18"/>
          <w:szCs w:val="18"/>
        </w:rPr>
        <w:t>Failover_Partner</w:t>
      </w:r>
      <w:proofErr w:type="spellEnd"/>
      <w:r>
        <w:t xml:space="preserve"> parameter in the connection string can continue to connect to the databases as long as the </w:t>
      </w:r>
      <w:r>
        <w:rPr>
          <w:rFonts w:ascii="Courier New" w:hAnsi="Courier New" w:cs="Courier New"/>
          <w:sz w:val="18"/>
          <w:szCs w:val="18"/>
        </w:rPr>
        <w:t>Server</w:t>
      </w:r>
      <w:r>
        <w:t xml:space="preserve"> parameter in the connection string points to the principal server in the database mirroring configuration (FCI1). For more information, see </w:t>
      </w:r>
      <w:r>
        <w:rPr>
          <w:rStyle w:val="HyperlinkforCross-References"/>
        </w:rPr>
        <w:fldChar w:fldCharType="begin"/>
      </w:r>
      <w:r>
        <w:rPr>
          <w:rStyle w:val="HyperlinkforCross-References"/>
        </w:rPr>
        <w:instrText xml:space="preserve"> REF _Ref317768816 \h  \* MERGEFORMAT </w:instrText>
      </w:r>
      <w:r>
        <w:rPr>
          <w:rStyle w:val="HyperlinkforCross-References"/>
        </w:rPr>
      </w:r>
      <w:r>
        <w:rPr>
          <w:rStyle w:val="HyperlinkforCross-References"/>
        </w:rPr>
        <w:fldChar w:fldCharType="separate"/>
      </w:r>
      <w:r>
        <w:rPr>
          <w:rStyle w:val="HyperlinkforCross-References"/>
        </w:rPr>
        <w:t xml:space="preserve">Client Connectivity Strategy </w:t>
      </w:r>
      <w:proofErr w:type="gramStart"/>
      <w:r>
        <w:rPr>
          <w:rStyle w:val="HyperlinkforCross-References"/>
        </w:rPr>
        <w:t>During</w:t>
      </w:r>
      <w:proofErr w:type="gramEnd"/>
      <w:r>
        <w:rPr>
          <w:rStyle w:val="HyperlinkforCross-References"/>
        </w:rPr>
        <w:t xml:space="preserve"> Migration</w:t>
      </w:r>
      <w:r>
        <w:rPr>
          <w:rStyle w:val="HyperlinkforCross-References"/>
        </w:rPr>
        <w:fldChar w:fldCharType="end"/>
      </w:r>
      <w:r>
        <w:t>.</w:t>
      </w:r>
    </w:p>
    <w:p w14:paraId="15AF63E7" w14:textId="77777777" w:rsidR="001D0985" w:rsidRDefault="001D0985" w:rsidP="001D0985">
      <w:pPr>
        <w:pStyle w:val="ListParagraph"/>
        <w:numPr>
          <w:ilvl w:val="0"/>
          <w:numId w:val="12"/>
        </w:numPr>
      </w:pPr>
      <w:r>
        <w:t xml:space="preserve">Establish an availability group with an availability group listener, as shown in </w:t>
      </w:r>
      <w:r>
        <w:fldChar w:fldCharType="begin"/>
      </w:r>
      <w:r>
        <w:instrText xml:space="preserve"> REF _Ref316985627 \h </w:instrText>
      </w:r>
      <w:r>
        <w:fldChar w:fldCharType="separate"/>
      </w:r>
      <w:r>
        <w:t xml:space="preserve">Figure </w:t>
      </w:r>
      <w:r>
        <w:rPr>
          <w:noProof/>
        </w:rPr>
        <w:t>6</w:t>
      </w:r>
      <w:r>
        <w:fldChar w:fldCharType="end"/>
      </w:r>
      <w:r>
        <w:t xml:space="preserve">. As when you configure database mirroring, you must </w:t>
      </w:r>
      <w:proofErr w:type="spellStart"/>
      <w:r>
        <w:t>back up</w:t>
      </w:r>
      <w:proofErr w:type="spellEnd"/>
      <w:r>
        <w:t xml:space="preserve"> and restore your databases to FCI2 in the same way before you create the new availability group. The New Availability Group Wizard contains an option to help automate this process, but it is not designed for very large databases that may exist in Tier-1 environments.</w:t>
      </w:r>
    </w:p>
    <w:p w14:paraId="04984A6C" w14:textId="77777777" w:rsidR="001D0985" w:rsidRDefault="001D0985" w:rsidP="001D0985">
      <w:pPr>
        <w:pStyle w:val="ListParagraph"/>
        <w:keepNext/>
      </w:pPr>
      <w:r>
        <w:object w:dxaOrig="8625" w:dyaOrig="2145" w14:anchorId="04F74C48">
          <v:shape id="_x0000_i1030" type="#_x0000_t75" style="width:431.25pt;height:107.25pt" o:ole="">
            <v:imagedata r:id="rId25" o:title=""/>
          </v:shape>
          <o:OLEObject Type="Embed" ProgID="Visio.Drawing.11" ShapeID="_x0000_i1030" DrawAspect="Content" ObjectID="_1422076329" r:id="rId26"/>
        </w:object>
      </w:r>
    </w:p>
    <w:p w14:paraId="616BB8DF" w14:textId="77777777" w:rsidR="001D0985" w:rsidRDefault="001D0985" w:rsidP="001D0985">
      <w:pPr>
        <w:pStyle w:val="Caption"/>
        <w:ind w:left="720"/>
        <w:rPr>
          <w:b w:val="0"/>
        </w:rPr>
      </w:pPr>
      <w:bookmarkStart w:id="17" w:name="_Ref316985627"/>
      <w:r>
        <w:t xml:space="preserve">Figure </w:t>
      </w:r>
      <w:r w:rsidR="007A2C7E">
        <w:fldChar w:fldCharType="begin"/>
      </w:r>
      <w:r w:rsidR="007A2C7E">
        <w:instrText xml:space="preserve"> SEQ Figure \* ARABIC </w:instrText>
      </w:r>
      <w:r w:rsidR="007A2C7E">
        <w:fldChar w:fldCharType="separate"/>
      </w:r>
      <w:r>
        <w:rPr>
          <w:noProof/>
        </w:rPr>
        <w:t>6</w:t>
      </w:r>
      <w:r w:rsidR="007A2C7E">
        <w:rPr>
          <w:noProof/>
        </w:rPr>
        <w:fldChar w:fldCharType="end"/>
      </w:r>
      <w:bookmarkEnd w:id="17"/>
      <w:r>
        <w:rPr>
          <w:b w:val="0"/>
        </w:rPr>
        <w:t xml:space="preserve">  Establish the availability group</w:t>
      </w:r>
    </w:p>
    <w:p w14:paraId="7CA02038" w14:textId="77777777" w:rsidR="001D0985" w:rsidRDefault="001D0985" w:rsidP="001D0985">
      <w:pPr>
        <w:pStyle w:val="ListParagraph"/>
      </w:pPr>
      <w:r>
        <w:rPr>
          <w:b/>
        </w:rPr>
        <w:t>Note</w:t>
      </w:r>
      <w:r>
        <w:t xml:space="preserve">: After the availability group is created, reconfigure your clients to connect to the availability group listener. For more information, see </w:t>
      </w:r>
      <w:r>
        <w:rPr>
          <w:rStyle w:val="HyperlinkforCross-References"/>
        </w:rPr>
        <w:fldChar w:fldCharType="begin"/>
      </w:r>
      <w:r>
        <w:rPr>
          <w:rStyle w:val="HyperlinkforCross-References"/>
        </w:rPr>
        <w:instrText xml:space="preserve"> REF _Ref317768816 \h  \* MERGEFORMAT </w:instrText>
      </w:r>
      <w:r>
        <w:rPr>
          <w:rStyle w:val="HyperlinkforCross-References"/>
        </w:rPr>
      </w:r>
      <w:r>
        <w:rPr>
          <w:rStyle w:val="HyperlinkforCross-References"/>
        </w:rPr>
        <w:fldChar w:fldCharType="separate"/>
      </w:r>
      <w:r>
        <w:rPr>
          <w:rStyle w:val="HyperlinkforCross-References"/>
        </w:rPr>
        <w:t xml:space="preserve">Client Connectivity Strategy </w:t>
      </w:r>
      <w:proofErr w:type="gramStart"/>
      <w:r>
        <w:rPr>
          <w:rStyle w:val="HyperlinkforCross-References"/>
        </w:rPr>
        <w:t>During</w:t>
      </w:r>
      <w:proofErr w:type="gramEnd"/>
      <w:r>
        <w:rPr>
          <w:rStyle w:val="HyperlinkforCross-References"/>
        </w:rPr>
        <w:t xml:space="preserve"> Migration</w:t>
      </w:r>
      <w:r>
        <w:rPr>
          <w:rStyle w:val="HyperlinkforCross-References"/>
        </w:rPr>
        <w:fldChar w:fldCharType="end"/>
      </w:r>
      <w:r>
        <w:t>.</w:t>
      </w:r>
    </w:p>
    <w:p w14:paraId="2601030D" w14:textId="77777777" w:rsidR="001D0985" w:rsidRDefault="001D0985" w:rsidP="001D0985">
      <w:pPr>
        <w:pStyle w:val="Heading2"/>
      </w:pPr>
      <w:bookmarkStart w:id="18" w:name="_Migration_With_Extra"/>
      <w:bookmarkStart w:id="19" w:name="_Ref316304144"/>
      <w:bookmarkStart w:id="20" w:name="_Toc321126886"/>
      <w:bookmarkEnd w:id="18"/>
      <w:r>
        <w:t>Migration with Intermediate Hardware</w:t>
      </w:r>
      <w:bookmarkEnd w:id="19"/>
      <w:bookmarkEnd w:id="20"/>
    </w:p>
    <w:p w14:paraId="0FDEC332" w14:textId="77777777" w:rsidR="001D0985" w:rsidRDefault="001D0985" w:rsidP="001D0985">
      <w:r>
        <w:t xml:space="preserve">Migration to SQL Server </w:t>
      </w:r>
      <w:proofErr w:type="spellStart"/>
      <w:r>
        <w:t>AlwaysOn</w:t>
      </w:r>
      <w:proofErr w:type="spellEnd"/>
      <w:r>
        <w:t xml:space="preserve"> with intermediate hardware enables you to preserve high availability and disaster recovery capabilities during migration, but it involves more steps. This option is especially useful if you want to upgrade the operating systems and hardware components during migration. </w:t>
      </w:r>
    </w:p>
    <w:p w14:paraId="6FF314DA" w14:textId="4A6483DD" w:rsidR="001D0985" w:rsidRDefault="001D0985" w:rsidP="001D0985">
      <w:r>
        <w:t xml:space="preserve">For an end-to-end walkthrough of this migration path, see </w:t>
      </w:r>
      <w:hyperlink r:id="rId27" w:history="1">
        <w:r w:rsidRPr="00675EBB">
          <w:rPr>
            <w:rStyle w:val="Hyperlink"/>
          </w:rPr>
          <w:t>Part II</w:t>
        </w:r>
      </w:hyperlink>
      <w:r>
        <w:t>.</w:t>
      </w:r>
    </w:p>
    <w:p w14:paraId="5B73D82B" w14:textId="77777777" w:rsidR="001D0985" w:rsidRDefault="001D0985" w:rsidP="001D0985">
      <w:r>
        <w:t>The general outline of the migration sequence is as follows:</w:t>
      </w:r>
    </w:p>
    <w:p w14:paraId="0638D5E5" w14:textId="77777777" w:rsidR="001D0985" w:rsidRDefault="001D0985" w:rsidP="001D0985">
      <w:pPr>
        <w:pStyle w:val="ListParagraph"/>
        <w:numPr>
          <w:ilvl w:val="0"/>
          <w:numId w:val="13"/>
        </w:numPr>
      </w:pPr>
      <w:r>
        <w:t xml:space="preserve">Add a temporary FCI (FCI3 in </w:t>
      </w:r>
      <w:r>
        <w:fldChar w:fldCharType="begin"/>
      </w:r>
      <w:r>
        <w:instrText xml:space="preserve"> REF _Ref316985706 \h </w:instrText>
      </w:r>
      <w:r>
        <w:fldChar w:fldCharType="separate"/>
      </w:r>
      <w:r>
        <w:t xml:space="preserve">Figure </w:t>
      </w:r>
      <w:r>
        <w:rPr>
          <w:noProof/>
        </w:rPr>
        <w:t>7</w:t>
      </w:r>
      <w:r>
        <w:fldChar w:fldCharType="end"/>
      </w:r>
      <w:r>
        <w:t xml:space="preserve">) to the primary site running SQL Server 2012. At this point, there are three WSFC clusters, two running in the primary site (hosting FCI1 and FCI3, respectively), and one running in the remote site (hosting FCI2). The newly created WSFC cluster that hosts FCI3 is highlighted in </w:t>
      </w:r>
      <w:r>
        <w:fldChar w:fldCharType="begin"/>
      </w:r>
      <w:r>
        <w:instrText xml:space="preserve"> REF _Ref316985706 \h </w:instrText>
      </w:r>
      <w:r>
        <w:fldChar w:fldCharType="separate"/>
      </w:r>
      <w:r>
        <w:t xml:space="preserve">Figure </w:t>
      </w:r>
      <w:r>
        <w:rPr>
          <w:noProof/>
        </w:rPr>
        <w:t>7</w:t>
      </w:r>
      <w:r>
        <w:fldChar w:fldCharType="end"/>
      </w:r>
      <w:r>
        <w:t xml:space="preserve"> to show how it changes throughout the rest of the migration sequence. This new WSFC cluster will become the only WSFC cluster that remains at the end of the migration process.</w:t>
      </w:r>
    </w:p>
    <w:p w14:paraId="4D7277B9" w14:textId="77777777" w:rsidR="001D0985" w:rsidRDefault="001D0985" w:rsidP="001D0985">
      <w:pPr>
        <w:pStyle w:val="ListParagraph"/>
        <w:keepNext/>
      </w:pPr>
      <w:r>
        <w:object w:dxaOrig="8640" w:dyaOrig="3885" w14:anchorId="1E361B36">
          <v:shape id="_x0000_i1031" type="#_x0000_t75" style="width:6in;height:194.25pt" o:ole="">
            <v:imagedata r:id="rId28" o:title=""/>
          </v:shape>
          <o:OLEObject Type="Embed" ProgID="Visio.Drawing.11" ShapeID="_x0000_i1031" DrawAspect="Content" ObjectID="_1422076330" r:id="rId29"/>
        </w:object>
      </w:r>
    </w:p>
    <w:p w14:paraId="3B67E3A0" w14:textId="77777777" w:rsidR="001D0985" w:rsidRDefault="001D0985" w:rsidP="001D0985">
      <w:pPr>
        <w:pStyle w:val="Caption"/>
        <w:ind w:left="720"/>
      </w:pPr>
      <w:bookmarkStart w:id="21" w:name="_Ref316985706"/>
      <w:r>
        <w:t xml:space="preserve">Figure </w:t>
      </w:r>
      <w:r w:rsidR="007A2C7E">
        <w:fldChar w:fldCharType="begin"/>
      </w:r>
      <w:r w:rsidR="007A2C7E">
        <w:instrText xml:space="preserve"> SEQ Fi</w:instrText>
      </w:r>
      <w:r w:rsidR="007A2C7E">
        <w:instrText xml:space="preserve">gure \* ARABIC </w:instrText>
      </w:r>
      <w:r w:rsidR="007A2C7E">
        <w:fldChar w:fldCharType="separate"/>
      </w:r>
      <w:r>
        <w:rPr>
          <w:noProof/>
        </w:rPr>
        <w:t>7</w:t>
      </w:r>
      <w:r w:rsidR="007A2C7E">
        <w:rPr>
          <w:noProof/>
        </w:rPr>
        <w:fldChar w:fldCharType="end"/>
      </w:r>
      <w:bookmarkEnd w:id="21"/>
      <w:r>
        <w:rPr>
          <w:b w:val="0"/>
        </w:rPr>
        <w:t xml:space="preserve">  Add a Temporary FCI to the Primary Site</w:t>
      </w:r>
    </w:p>
    <w:p w14:paraId="1B944ECA" w14:textId="77777777" w:rsidR="001D0985" w:rsidRDefault="001D0985" w:rsidP="001D0985">
      <w:pPr>
        <w:pStyle w:val="ListParagraph"/>
        <w:keepNext/>
        <w:numPr>
          <w:ilvl w:val="0"/>
          <w:numId w:val="13"/>
        </w:numPr>
      </w:pPr>
      <w:r>
        <w:t xml:space="preserve">Break database mirroring with FCI2 and establish mirroring with FCI3, as shown in </w:t>
      </w:r>
      <w:r>
        <w:fldChar w:fldCharType="begin"/>
      </w:r>
      <w:r>
        <w:instrText xml:space="preserve"> REF _Ref316985722 \h </w:instrText>
      </w:r>
      <w:r>
        <w:fldChar w:fldCharType="separate"/>
      </w:r>
      <w:r>
        <w:t xml:space="preserve">Figure </w:t>
      </w:r>
      <w:r>
        <w:rPr>
          <w:noProof/>
        </w:rPr>
        <w:t>8</w:t>
      </w:r>
      <w:r>
        <w:fldChar w:fldCharType="end"/>
      </w:r>
      <w:r>
        <w:t xml:space="preserve">. </w:t>
      </w:r>
      <w:r>
        <w:object w:dxaOrig="8640" w:dyaOrig="3885" w14:anchorId="1CBEA1CE">
          <v:shape id="_x0000_i1032" type="#_x0000_t75" style="width:6in;height:194.25pt" o:ole="">
            <v:imagedata r:id="rId30" o:title=""/>
          </v:shape>
          <o:OLEObject Type="Embed" ProgID="Visio.Drawing.11" ShapeID="_x0000_i1032" DrawAspect="Content" ObjectID="_1422076331" r:id="rId31"/>
        </w:object>
      </w:r>
    </w:p>
    <w:p w14:paraId="239F50CF" w14:textId="77777777" w:rsidR="001D0985" w:rsidRDefault="001D0985" w:rsidP="001D0985">
      <w:pPr>
        <w:pStyle w:val="Caption"/>
        <w:tabs>
          <w:tab w:val="left" w:pos="7674"/>
        </w:tabs>
        <w:ind w:left="720"/>
      </w:pPr>
      <w:bookmarkStart w:id="22" w:name="_Ref316985722"/>
      <w:r>
        <w:t xml:space="preserve">Figure </w:t>
      </w:r>
      <w:r w:rsidR="007A2C7E">
        <w:fldChar w:fldCharType="begin"/>
      </w:r>
      <w:r w:rsidR="007A2C7E">
        <w:instrText xml:space="preserve"> SEQ Figure \* ARABIC </w:instrText>
      </w:r>
      <w:r w:rsidR="007A2C7E">
        <w:fldChar w:fldCharType="separate"/>
      </w:r>
      <w:r>
        <w:rPr>
          <w:noProof/>
        </w:rPr>
        <w:t>8</w:t>
      </w:r>
      <w:r w:rsidR="007A2C7E">
        <w:rPr>
          <w:noProof/>
        </w:rPr>
        <w:fldChar w:fldCharType="end"/>
      </w:r>
      <w:bookmarkEnd w:id="22"/>
      <w:r>
        <w:t xml:space="preserve">  </w:t>
      </w:r>
      <w:r>
        <w:rPr>
          <w:b w:val="0"/>
        </w:rPr>
        <w:t>Establish Database Mirroring with the Temporary FCI</w:t>
      </w:r>
      <w:r>
        <w:rPr>
          <w:b w:val="0"/>
        </w:rPr>
        <w:tab/>
      </w:r>
    </w:p>
    <w:p w14:paraId="31EBDC3C" w14:textId="77777777" w:rsidR="001D0985" w:rsidRDefault="001D0985" w:rsidP="001D0985">
      <w:pPr>
        <w:pStyle w:val="ListParagraph"/>
      </w:pPr>
      <w:r>
        <w:rPr>
          <w:b/>
        </w:rPr>
        <w:t>NOTE</w:t>
      </w:r>
      <w:r>
        <w:t xml:space="preserve">: If the clients use the </w:t>
      </w:r>
      <w:proofErr w:type="spellStart"/>
      <w:r>
        <w:rPr>
          <w:rFonts w:ascii="Courier New" w:hAnsi="Courier New" w:cs="Courier New"/>
          <w:sz w:val="18"/>
          <w:szCs w:val="18"/>
        </w:rPr>
        <w:t>Failover_Partner</w:t>
      </w:r>
      <w:proofErr w:type="spellEnd"/>
      <w:r>
        <w:t xml:space="preserve"> in the connection string, you must modify the </w:t>
      </w:r>
      <w:proofErr w:type="spellStart"/>
      <w:r>
        <w:rPr>
          <w:rFonts w:ascii="Courier New" w:hAnsi="Courier New" w:cs="Courier New"/>
          <w:sz w:val="18"/>
          <w:szCs w:val="18"/>
        </w:rPr>
        <w:t>Failover_Partner</w:t>
      </w:r>
      <w:proofErr w:type="spellEnd"/>
      <w:r>
        <w:t xml:space="preserve"> parameter to point to FCI3 instead of FCI2. For more information, see </w:t>
      </w:r>
      <w:r>
        <w:rPr>
          <w:rStyle w:val="HyperlinkforCross-References"/>
        </w:rPr>
        <w:fldChar w:fldCharType="begin"/>
      </w:r>
      <w:r>
        <w:rPr>
          <w:rStyle w:val="HyperlinkforCross-References"/>
        </w:rPr>
        <w:instrText xml:space="preserve"> REF _Ref317768816 \h  \* MERGEFORMAT </w:instrText>
      </w:r>
      <w:r>
        <w:rPr>
          <w:rStyle w:val="HyperlinkforCross-References"/>
        </w:rPr>
      </w:r>
      <w:r>
        <w:rPr>
          <w:rStyle w:val="HyperlinkforCross-References"/>
        </w:rPr>
        <w:fldChar w:fldCharType="separate"/>
      </w:r>
      <w:r>
        <w:rPr>
          <w:rStyle w:val="HyperlinkforCross-References"/>
        </w:rPr>
        <w:t xml:space="preserve">Client Connectivity Strategy </w:t>
      </w:r>
      <w:proofErr w:type="gramStart"/>
      <w:r>
        <w:rPr>
          <w:rStyle w:val="HyperlinkforCross-References"/>
        </w:rPr>
        <w:t>During</w:t>
      </w:r>
      <w:proofErr w:type="gramEnd"/>
      <w:r>
        <w:rPr>
          <w:rStyle w:val="HyperlinkforCross-References"/>
        </w:rPr>
        <w:t xml:space="preserve"> Migration</w:t>
      </w:r>
      <w:r>
        <w:rPr>
          <w:rStyle w:val="HyperlinkforCross-References"/>
        </w:rPr>
        <w:fldChar w:fldCharType="end"/>
      </w:r>
      <w:r>
        <w:t>.</w:t>
      </w:r>
    </w:p>
    <w:p w14:paraId="406CA4C4" w14:textId="77777777" w:rsidR="001D0985" w:rsidRDefault="001D0985" w:rsidP="001D0985">
      <w:pPr>
        <w:pStyle w:val="ListParagraph"/>
        <w:keepNext/>
        <w:numPr>
          <w:ilvl w:val="0"/>
          <w:numId w:val="13"/>
        </w:numPr>
      </w:pPr>
      <w:r>
        <w:t xml:space="preserve">Reconfigure the FCI2 nodes with new hardware and software (optional), then join these nodes to the WSFC cluster for FCI3, and then install a SQL Server 2012 FCI on these nodes as FCI2. The new WSFC cluster (for FCI3) now contains two FCIs in two separate sites, as shown in </w:t>
      </w:r>
      <w:r>
        <w:fldChar w:fldCharType="begin"/>
      </w:r>
      <w:r>
        <w:instrText xml:space="preserve"> REF _Ref316985764 \h </w:instrText>
      </w:r>
      <w:r>
        <w:fldChar w:fldCharType="separate"/>
      </w:r>
      <w:r>
        <w:t xml:space="preserve">Figure </w:t>
      </w:r>
      <w:r>
        <w:rPr>
          <w:noProof/>
        </w:rPr>
        <w:t>9</w:t>
      </w:r>
      <w:r>
        <w:fldChar w:fldCharType="end"/>
      </w:r>
      <w:r>
        <w:t>.</w:t>
      </w:r>
    </w:p>
    <w:p w14:paraId="22F9CB2C" w14:textId="77777777" w:rsidR="001D0985" w:rsidRDefault="001D0985" w:rsidP="001D0985">
      <w:pPr>
        <w:ind w:left="720"/>
      </w:pPr>
      <w:r>
        <w:rPr>
          <w:b/>
        </w:rPr>
        <w:t>Important</w:t>
      </w:r>
      <w:r>
        <w:t xml:space="preserve">: Joining the server nodes to the WSFC cluster also means that you must reconsider your quorum model to maintain optimal WSFC quorum health both when and after adding the nodes. For more information, see the </w:t>
      </w:r>
      <w:r>
        <w:rPr>
          <w:b/>
        </w:rPr>
        <w:t>WSFC Quorum Modes and Voting Configuration</w:t>
      </w:r>
      <w:r>
        <w:t xml:space="preserve"> section in </w:t>
      </w:r>
      <w:hyperlink r:id="rId32" w:history="1">
        <w:r>
          <w:rPr>
            <w:rStyle w:val="Hyperlink"/>
          </w:rPr>
          <w:t>Microsoft SQL Server AlwaysOn Solutions Guide for High Availability and Disaster Recovery</w:t>
        </w:r>
      </w:hyperlink>
      <w:r>
        <w:t xml:space="preserve"> </w:t>
      </w:r>
      <w:r>
        <w:lastRenderedPageBreak/>
        <w:t xml:space="preserve">(http://msdn.microsoft.com/en-us/library/hh781257.aspx). </w:t>
      </w:r>
      <w:r>
        <w:object w:dxaOrig="8640" w:dyaOrig="3885" w14:anchorId="58521318">
          <v:shape id="_x0000_i1033" type="#_x0000_t75" style="width:6in;height:194.25pt" o:ole="">
            <v:imagedata r:id="rId33" o:title=""/>
          </v:shape>
          <o:OLEObject Type="Embed" ProgID="Visio.Drawing.11" ShapeID="_x0000_i1033" DrawAspect="Content" ObjectID="_1422076332" r:id="rId34"/>
        </w:object>
      </w:r>
    </w:p>
    <w:p w14:paraId="63F413E6" w14:textId="77777777" w:rsidR="001D0985" w:rsidRDefault="001D0985" w:rsidP="001D0985">
      <w:pPr>
        <w:pStyle w:val="Caption"/>
        <w:ind w:left="720"/>
      </w:pPr>
      <w:bookmarkStart w:id="23" w:name="_Ref316985764"/>
      <w:r>
        <w:t xml:space="preserve">Figure </w:t>
      </w:r>
      <w:r w:rsidR="007A2C7E">
        <w:fldChar w:fldCharType="begin"/>
      </w:r>
      <w:r w:rsidR="007A2C7E">
        <w:instrText xml:space="preserve"> SEQ Figure \* ARABIC </w:instrText>
      </w:r>
      <w:r w:rsidR="007A2C7E">
        <w:fldChar w:fldCharType="separate"/>
      </w:r>
      <w:r>
        <w:rPr>
          <w:noProof/>
        </w:rPr>
        <w:t>9</w:t>
      </w:r>
      <w:r w:rsidR="007A2C7E">
        <w:rPr>
          <w:noProof/>
        </w:rPr>
        <w:fldChar w:fldCharType="end"/>
      </w:r>
      <w:bookmarkEnd w:id="23"/>
      <w:r>
        <w:rPr>
          <w:b w:val="0"/>
        </w:rPr>
        <w:t xml:space="preserve">  Add the Remote FCI to the New WSFC Cluster</w:t>
      </w:r>
    </w:p>
    <w:p w14:paraId="25AC523F" w14:textId="77777777" w:rsidR="001D0985" w:rsidRDefault="001D0985" w:rsidP="001D0985">
      <w:pPr>
        <w:pStyle w:val="ListParagraph"/>
        <w:numPr>
          <w:ilvl w:val="0"/>
          <w:numId w:val="13"/>
        </w:numPr>
      </w:pPr>
      <w:r>
        <w:t xml:space="preserve">Perform a database mirroring failover in the primary site to make FCI3 the new primary partner, then remove the database mirroring configuration, and then establish an availability group with an availability group listener, with FCI3 as the primary replica and FCI2 as the secondary replica, as shown in </w:t>
      </w:r>
      <w:r>
        <w:fldChar w:fldCharType="begin"/>
      </w:r>
      <w:r>
        <w:instrText xml:space="preserve"> REF _Ref316985785 \h </w:instrText>
      </w:r>
      <w:r>
        <w:fldChar w:fldCharType="separate"/>
      </w:r>
      <w:r>
        <w:t xml:space="preserve">Figure </w:t>
      </w:r>
      <w:r>
        <w:rPr>
          <w:noProof/>
        </w:rPr>
        <w:t>10</w:t>
      </w:r>
      <w:r>
        <w:fldChar w:fldCharType="end"/>
      </w:r>
      <w:r>
        <w:t xml:space="preserve">. </w:t>
      </w:r>
    </w:p>
    <w:p w14:paraId="5EDBFFBF" w14:textId="77777777" w:rsidR="001D0985" w:rsidRDefault="001D0985" w:rsidP="001D0985">
      <w:pPr>
        <w:pStyle w:val="ListParagraph"/>
        <w:keepNext/>
      </w:pPr>
      <w:r>
        <w:object w:dxaOrig="8640" w:dyaOrig="3885" w14:anchorId="5FB36B34">
          <v:shape id="_x0000_i1034" type="#_x0000_t75" style="width:6in;height:194.25pt" o:ole="">
            <v:imagedata r:id="rId35" o:title=""/>
          </v:shape>
          <o:OLEObject Type="Embed" ProgID="Visio.Drawing.11" ShapeID="_x0000_i1034" DrawAspect="Content" ObjectID="_1422076333" r:id="rId36"/>
        </w:object>
      </w:r>
    </w:p>
    <w:p w14:paraId="38EF1974" w14:textId="77777777" w:rsidR="001D0985" w:rsidRDefault="001D0985" w:rsidP="001D0985">
      <w:pPr>
        <w:pStyle w:val="Caption"/>
        <w:ind w:left="720"/>
      </w:pPr>
      <w:bookmarkStart w:id="24" w:name="_Ref316985785"/>
      <w:r>
        <w:t xml:space="preserve">Figure </w:t>
      </w:r>
      <w:r w:rsidR="007A2C7E">
        <w:fldChar w:fldCharType="begin"/>
      </w:r>
      <w:r w:rsidR="007A2C7E">
        <w:instrText xml:space="preserve"> SEQ Figure \* ARABIC </w:instrText>
      </w:r>
      <w:r w:rsidR="007A2C7E">
        <w:fldChar w:fldCharType="separate"/>
      </w:r>
      <w:r>
        <w:rPr>
          <w:noProof/>
        </w:rPr>
        <w:t>10</w:t>
      </w:r>
      <w:r w:rsidR="007A2C7E">
        <w:rPr>
          <w:noProof/>
        </w:rPr>
        <w:fldChar w:fldCharType="end"/>
      </w:r>
      <w:bookmarkEnd w:id="24"/>
      <w:r>
        <w:rPr>
          <w:b w:val="0"/>
        </w:rPr>
        <w:t xml:space="preserve">  Establish Availability Group </w:t>
      </w:r>
      <w:proofErr w:type="gramStart"/>
      <w:r>
        <w:rPr>
          <w:b w:val="0"/>
        </w:rPr>
        <w:t>Between</w:t>
      </w:r>
      <w:proofErr w:type="gramEnd"/>
      <w:r>
        <w:rPr>
          <w:b w:val="0"/>
        </w:rPr>
        <w:t xml:space="preserve"> Temporary and Remote FCIs and Reconfigure Primary FCI</w:t>
      </w:r>
    </w:p>
    <w:p w14:paraId="47B05387" w14:textId="77777777" w:rsidR="001D0985" w:rsidRDefault="001D0985" w:rsidP="001D0985">
      <w:pPr>
        <w:ind w:left="720"/>
      </w:pPr>
      <w:r>
        <w:rPr>
          <w:b/>
        </w:rPr>
        <w:t>Note</w:t>
      </w:r>
      <w:r>
        <w:t xml:space="preserve">: After the availability group is created, reconfigure your clients to connect to the availability group listener. Clients will experience a period of down time from the time that database mirroring is stopped until they are reconfigured to point to the new availability group listener. To increase client connectivity, you can modify your clients to point directly to FCI3 immediately after stopping database mirroring. For more information, see </w:t>
      </w:r>
      <w:r>
        <w:rPr>
          <w:rStyle w:val="HyperlinkforCross-References"/>
        </w:rPr>
        <w:fldChar w:fldCharType="begin"/>
      </w:r>
      <w:r>
        <w:rPr>
          <w:rStyle w:val="HyperlinkforCross-References"/>
        </w:rPr>
        <w:instrText xml:space="preserve"> REF _Ref317768816 \h  \* MERGEFORMAT </w:instrText>
      </w:r>
      <w:r>
        <w:rPr>
          <w:rStyle w:val="HyperlinkforCross-References"/>
        </w:rPr>
      </w:r>
      <w:r>
        <w:rPr>
          <w:rStyle w:val="HyperlinkforCross-References"/>
        </w:rPr>
        <w:fldChar w:fldCharType="separate"/>
      </w:r>
      <w:r>
        <w:rPr>
          <w:rStyle w:val="HyperlinkforCross-References"/>
        </w:rPr>
        <w:t xml:space="preserve">Client Connectivity Strategy </w:t>
      </w:r>
      <w:proofErr w:type="gramStart"/>
      <w:r>
        <w:rPr>
          <w:rStyle w:val="HyperlinkforCross-References"/>
        </w:rPr>
        <w:t>During</w:t>
      </w:r>
      <w:proofErr w:type="gramEnd"/>
      <w:r>
        <w:rPr>
          <w:rStyle w:val="HyperlinkforCross-References"/>
        </w:rPr>
        <w:t xml:space="preserve"> Migration</w:t>
      </w:r>
      <w:r>
        <w:rPr>
          <w:rStyle w:val="HyperlinkforCross-References"/>
        </w:rPr>
        <w:fldChar w:fldCharType="end"/>
      </w:r>
      <w:r>
        <w:t>.</w:t>
      </w:r>
    </w:p>
    <w:p w14:paraId="52813A75" w14:textId="77777777" w:rsidR="001D0985" w:rsidRDefault="001D0985" w:rsidP="001D0985">
      <w:pPr>
        <w:pStyle w:val="ListParagraph"/>
        <w:numPr>
          <w:ilvl w:val="0"/>
          <w:numId w:val="13"/>
        </w:numPr>
      </w:pPr>
      <w:r>
        <w:lastRenderedPageBreak/>
        <w:t xml:space="preserve">Reconfigure the FCI1 nodes with new hardware and software (optional), then join these nodes to the new WSFC cluster (for FCI3), then configure a new SQL Server 2012 FCI on these nodes as FCI1, and then add FCI1 to the availability group as a secondary replica. The resulting configuration is shown in </w:t>
      </w:r>
      <w:r>
        <w:fldChar w:fldCharType="begin"/>
      </w:r>
      <w:r>
        <w:instrText xml:space="preserve"> REF _Ref316986073 \h </w:instrText>
      </w:r>
      <w:r>
        <w:fldChar w:fldCharType="separate"/>
      </w:r>
      <w:r>
        <w:t xml:space="preserve">Figure </w:t>
      </w:r>
      <w:r>
        <w:rPr>
          <w:noProof/>
        </w:rPr>
        <w:t>11</w:t>
      </w:r>
      <w:r>
        <w:fldChar w:fldCharType="end"/>
      </w:r>
      <w:r>
        <w:t xml:space="preserve">. </w:t>
      </w:r>
    </w:p>
    <w:p w14:paraId="42AC813B" w14:textId="77777777" w:rsidR="001D0985" w:rsidRDefault="001D0985" w:rsidP="001D0985">
      <w:pPr>
        <w:ind w:left="720"/>
      </w:pPr>
      <w:r>
        <w:rPr>
          <w:b/>
        </w:rPr>
        <w:t>Important</w:t>
      </w:r>
      <w:r>
        <w:t xml:space="preserve">: Joining the server nodes to the WSFC cluster also means that you must reconsider your quorum model to maintain optimal WSFC quorum health both when and after adding the nodes. For more information, see the </w:t>
      </w:r>
      <w:r>
        <w:rPr>
          <w:b/>
        </w:rPr>
        <w:t>WSFC Quorum Modes and Voting Configuration</w:t>
      </w:r>
      <w:r>
        <w:t xml:space="preserve"> section in </w:t>
      </w:r>
      <w:hyperlink r:id="rId37" w:history="1">
        <w:r>
          <w:rPr>
            <w:rStyle w:val="Hyperlink"/>
          </w:rPr>
          <w:t>Microsoft SQL Server AlwaysOn Solutions Guide for High Availability and Disaster Recovery</w:t>
        </w:r>
      </w:hyperlink>
      <w:r>
        <w:t xml:space="preserve"> (http://msdn.microsoft.com/en-us/library/hh781257.aspx).</w:t>
      </w:r>
    </w:p>
    <w:p w14:paraId="6EE68F65" w14:textId="77777777" w:rsidR="001D0985" w:rsidRDefault="001D0985" w:rsidP="001D0985">
      <w:pPr>
        <w:pStyle w:val="ListParagraph"/>
        <w:keepNext/>
      </w:pPr>
      <w:r>
        <w:object w:dxaOrig="8640" w:dyaOrig="3885" w14:anchorId="01248635">
          <v:shape id="_x0000_i1035" type="#_x0000_t75" style="width:6in;height:194.25pt" o:ole="">
            <v:imagedata r:id="rId38" o:title=""/>
          </v:shape>
          <o:OLEObject Type="Embed" ProgID="Visio.Drawing.11" ShapeID="_x0000_i1035" DrawAspect="Content" ObjectID="_1422076334" r:id="rId39"/>
        </w:object>
      </w:r>
    </w:p>
    <w:p w14:paraId="1E18032A" w14:textId="77777777" w:rsidR="001D0985" w:rsidRDefault="001D0985" w:rsidP="001D0985">
      <w:pPr>
        <w:pStyle w:val="Caption"/>
        <w:ind w:left="720"/>
      </w:pPr>
      <w:bookmarkStart w:id="25" w:name="_Ref316986073"/>
      <w:r>
        <w:t xml:space="preserve">Figure </w:t>
      </w:r>
      <w:r w:rsidR="007A2C7E">
        <w:fldChar w:fldCharType="begin"/>
      </w:r>
      <w:r w:rsidR="007A2C7E">
        <w:instrText xml:space="preserve"> SEQ Fi</w:instrText>
      </w:r>
      <w:r w:rsidR="007A2C7E">
        <w:instrText xml:space="preserve">gure \* ARABIC </w:instrText>
      </w:r>
      <w:r w:rsidR="007A2C7E">
        <w:fldChar w:fldCharType="separate"/>
      </w:r>
      <w:r>
        <w:rPr>
          <w:noProof/>
        </w:rPr>
        <w:t>11</w:t>
      </w:r>
      <w:r w:rsidR="007A2C7E">
        <w:rPr>
          <w:noProof/>
        </w:rPr>
        <w:fldChar w:fldCharType="end"/>
      </w:r>
      <w:bookmarkEnd w:id="25"/>
      <w:r>
        <w:rPr>
          <w:b w:val="0"/>
        </w:rPr>
        <w:t xml:space="preserve">  Install the new primary FCI and add it to the availability group</w:t>
      </w:r>
    </w:p>
    <w:p w14:paraId="1A3E2446" w14:textId="77777777" w:rsidR="001D0985" w:rsidRDefault="001D0985" w:rsidP="001D0985">
      <w:pPr>
        <w:pStyle w:val="ListParagraph"/>
        <w:numPr>
          <w:ilvl w:val="0"/>
          <w:numId w:val="13"/>
        </w:numPr>
      </w:pPr>
      <w:r>
        <w:t xml:space="preserve">Make FCI1 the new primary availability replica, and then remove FCI3 from the availability group and evict the corresponding nodes from the WSFC cluster, as shown in </w:t>
      </w:r>
      <w:r>
        <w:fldChar w:fldCharType="begin"/>
      </w:r>
      <w:r>
        <w:instrText xml:space="preserve"> REF _Ref316986089 \h </w:instrText>
      </w:r>
      <w:r>
        <w:fldChar w:fldCharType="separate"/>
      </w:r>
      <w:r>
        <w:t xml:space="preserve">Figure </w:t>
      </w:r>
      <w:r>
        <w:rPr>
          <w:noProof/>
        </w:rPr>
        <w:t>12</w:t>
      </w:r>
      <w:r>
        <w:fldChar w:fldCharType="end"/>
      </w:r>
      <w:r>
        <w:t>.</w:t>
      </w:r>
    </w:p>
    <w:p w14:paraId="5D0245E1" w14:textId="77777777" w:rsidR="001D0985" w:rsidRDefault="001D0985" w:rsidP="001D0985">
      <w:pPr>
        <w:pStyle w:val="ListParagraph"/>
        <w:keepNext/>
      </w:pPr>
      <w:r>
        <w:object w:dxaOrig="8640" w:dyaOrig="2145" w14:anchorId="713D4A56">
          <v:shape id="_x0000_i1036" type="#_x0000_t75" style="width:6in;height:107.25pt" o:ole="">
            <v:imagedata r:id="rId40" o:title=""/>
          </v:shape>
          <o:OLEObject Type="Embed" ProgID="Visio.Drawing.11" ShapeID="_x0000_i1036" DrawAspect="Content" ObjectID="_1422076335" r:id="rId41"/>
        </w:object>
      </w:r>
    </w:p>
    <w:p w14:paraId="3B3FA846" w14:textId="77777777" w:rsidR="001D0985" w:rsidRDefault="001D0985" w:rsidP="001D0985">
      <w:pPr>
        <w:pStyle w:val="Caption"/>
        <w:ind w:left="720"/>
      </w:pPr>
      <w:bookmarkStart w:id="26" w:name="_Ref316986089"/>
      <w:r>
        <w:t xml:space="preserve">Figure </w:t>
      </w:r>
      <w:r w:rsidR="007A2C7E">
        <w:fldChar w:fldCharType="begin"/>
      </w:r>
      <w:r w:rsidR="007A2C7E">
        <w:instrText xml:space="preserve"> SEQ Figure \* ARABIC </w:instrText>
      </w:r>
      <w:r w:rsidR="007A2C7E">
        <w:fldChar w:fldCharType="separate"/>
      </w:r>
      <w:r>
        <w:rPr>
          <w:noProof/>
        </w:rPr>
        <w:t>12</w:t>
      </w:r>
      <w:r w:rsidR="007A2C7E">
        <w:rPr>
          <w:noProof/>
        </w:rPr>
        <w:fldChar w:fldCharType="end"/>
      </w:r>
      <w:bookmarkEnd w:id="26"/>
      <w:r>
        <w:rPr>
          <w:b w:val="0"/>
        </w:rPr>
        <w:t xml:space="preserve">  Remove the temporary FCI</w:t>
      </w:r>
    </w:p>
    <w:p w14:paraId="14274F9D" w14:textId="77777777" w:rsidR="001D0985" w:rsidRDefault="001D0985" w:rsidP="001D0985">
      <w:pPr>
        <w:pStyle w:val="Heading1"/>
      </w:pPr>
      <w:bookmarkStart w:id="27" w:name="_Important_Considerations_for"/>
      <w:bookmarkStart w:id="28" w:name="_Important_Considerations"/>
      <w:bookmarkStart w:id="29" w:name="_Toc321126887"/>
      <w:bookmarkEnd w:id="27"/>
      <w:bookmarkEnd w:id="28"/>
      <w:r>
        <w:t>Important Considerations</w:t>
      </w:r>
      <w:bookmarkEnd w:id="29"/>
    </w:p>
    <w:p w14:paraId="4325E6C4" w14:textId="77777777" w:rsidR="001D0985" w:rsidRDefault="001D0985" w:rsidP="001D0985">
      <w:r>
        <w:t xml:space="preserve">You should be aware of some key conceptual differences between the SQL Server 2008 R2 solution and SQL Server </w:t>
      </w:r>
      <w:proofErr w:type="spellStart"/>
      <w:r>
        <w:t>AlwaysOn</w:t>
      </w:r>
      <w:proofErr w:type="spellEnd"/>
      <w:r>
        <w:t xml:space="preserve"> when you plan a migration to an FCI and availability group solution. Before you start the migration walkthrough, make sure you understand all the concepts outlined in this section.</w:t>
      </w:r>
    </w:p>
    <w:p w14:paraId="2012D7E7" w14:textId="77777777" w:rsidR="001D0985" w:rsidRDefault="001D0985" w:rsidP="001D0985">
      <w:pPr>
        <w:pStyle w:val="Heading2"/>
      </w:pPr>
      <w:bookmarkStart w:id="30" w:name="_Ref317768478"/>
      <w:bookmarkStart w:id="31" w:name="_Toc321126888"/>
      <w:proofErr w:type="spellStart"/>
      <w:r>
        <w:lastRenderedPageBreak/>
        <w:t>AlwaysOn</w:t>
      </w:r>
      <w:proofErr w:type="spellEnd"/>
      <w:r>
        <w:t xml:space="preserve"> Availability Groups and Windows Server Failover Clustering</w:t>
      </w:r>
      <w:bookmarkEnd w:id="30"/>
      <w:bookmarkEnd w:id="31"/>
    </w:p>
    <w:p w14:paraId="0DF18593" w14:textId="77777777" w:rsidR="001D0985" w:rsidRDefault="001D0985" w:rsidP="001D0985">
      <w:r>
        <w:t xml:space="preserve">That the Windows Server Failover Clustering (WSFC) service is integral to </w:t>
      </w:r>
      <w:proofErr w:type="spellStart"/>
      <w:r>
        <w:t>AlwaysOn</w:t>
      </w:r>
      <w:proofErr w:type="spellEnd"/>
      <w:r>
        <w:t xml:space="preserve"> Failover Cluster Instances is not new. When you implement FCIs for high availability and database mirroring for disaster recovery, you have two FCIs that reside in two WSFC clusters, one on the primary site and one on the remote site. When you use an availability group for disaster recovery, however, the availability group requires all replicas to be </w:t>
      </w:r>
      <w:r>
        <w:rPr>
          <w:i/>
        </w:rPr>
        <w:t>in the same WSFC cluster</w:t>
      </w:r>
      <w:r>
        <w:t>. You must pay attention to the following:</w:t>
      </w:r>
    </w:p>
    <w:p w14:paraId="059E04EA" w14:textId="77777777" w:rsidR="001D0985" w:rsidRDefault="001D0985" w:rsidP="001D0985">
      <w:pPr>
        <w:pStyle w:val="ListParagraph"/>
        <w:numPr>
          <w:ilvl w:val="0"/>
          <w:numId w:val="14"/>
        </w:numPr>
        <w:rPr>
          <w:b/>
        </w:rPr>
      </w:pPr>
      <w:r>
        <w:rPr>
          <w:b/>
        </w:rPr>
        <w:t xml:space="preserve">Windows </w:t>
      </w:r>
      <w:proofErr w:type="gramStart"/>
      <w:r>
        <w:rPr>
          <w:b/>
        </w:rPr>
        <w:t>Domain</w:t>
      </w:r>
      <w:r>
        <w:t xml:space="preserve">  Because</w:t>
      </w:r>
      <w:proofErr w:type="gramEnd"/>
      <w:r>
        <w:t xml:space="preserve"> the FCIs in both the primary and remote sites must run in the same WSFC cluster, all server nodes must also run in the same Windows domain.</w:t>
      </w:r>
    </w:p>
    <w:p w14:paraId="1A2F3471" w14:textId="77777777" w:rsidR="001D0985" w:rsidRDefault="001D0985" w:rsidP="001D0985">
      <w:pPr>
        <w:pStyle w:val="ListParagraph"/>
        <w:numPr>
          <w:ilvl w:val="0"/>
          <w:numId w:val="14"/>
        </w:numPr>
        <w:rPr>
          <w:b/>
        </w:rPr>
      </w:pPr>
      <w:r>
        <w:rPr>
          <w:b/>
        </w:rPr>
        <w:t xml:space="preserve">Firewall </w:t>
      </w:r>
      <w:proofErr w:type="gramStart"/>
      <w:r>
        <w:rPr>
          <w:b/>
        </w:rPr>
        <w:t xml:space="preserve">Ports  </w:t>
      </w:r>
      <w:r>
        <w:t>To</w:t>
      </w:r>
      <w:proofErr w:type="gramEnd"/>
      <w:r>
        <w:t xml:space="preserve"> run a WSFC cluster in a multi-site environment, you must make sure that all respective firewall ports are open between the sites in order to allow the WSFC server to join nodes on the remote site and for the multi-site WSFC cluster to function properly. </w:t>
      </w:r>
    </w:p>
    <w:p w14:paraId="1FFB85B4" w14:textId="77777777" w:rsidR="001D0985" w:rsidRDefault="001D0985" w:rsidP="001D0985">
      <w:pPr>
        <w:pStyle w:val="ListParagraph"/>
        <w:numPr>
          <w:ilvl w:val="0"/>
          <w:numId w:val="14"/>
        </w:numPr>
      </w:pPr>
      <w:r>
        <w:rPr>
          <w:b/>
        </w:rPr>
        <w:t xml:space="preserve">FCI </w:t>
      </w:r>
      <w:proofErr w:type="gramStart"/>
      <w:r>
        <w:rPr>
          <w:b/>
        </w:rPr>
        <w:t>Naming</w:t>
      </w:r>
      <w:r>
        <w:t xml:space="preserve">  According</w:t>
      </w:r>
      <w:proofErr w:type="gramEnd"/>
      <w:r>
        <w:t xml:space="preserve"> to previous best practices, FCI names in the primary and remote sites should be the same. However, the requirement for the FCIs to be in the same WSFC cluster means that the FCI names cannot be the same.</w:t>
      </w:r>
    </w:p>
    <w:p w14:paraId="0F451C24" w14:textId="77777777" w:rsidR="001D0985" w:rsidRDefault="001D0985" w:rsidP="001D0985">
      <w:pPr>
        <w:pStyle w:val="ListParagraph"/>
        <w:numPr>
          <w:ilvl w:val="0"/>
          <w:numId w:val="14"/>
        </w:numPr>
      </w:pPr>
      <w:r>
        <w:rPr>
          <w:b/>
        </w:rPr>
        <w:t xml:space="preserve">Quorum </w:t>
      </w:r>
      <w:proofErr w:type="gramStart"/>
      <w:r>
        <w:rPr>
          <w:b/>
        </w:rPr>
        <w:t>Configuration</w:t>
      </w:r>
      <w:r>
        <w:t xml:space="preserve">  Because</w:t>
      </w:r>
      <w:proofErr w:type="gramEnd"/>
      <w:r>
        <w:t xml:space="preserve"> the WSFC cluster for the availability group now spans multiple sites, you must carefully plan your quorum configuration in order to preserve quorum health in the event of common problems such as network segmentation. You do not want your database to go down simply because your primary and remote sites lose connectivity with each other.</w:t>
      </w:r>
    </w:p>
    <w:p w14:paraId="69554B12" w14:textId="77777777" w:rsidR="001D0985" w:rsidRDefault="001D0985" w:rsidP="001D0985">
      <w:pPr>
        <w:pStyle w:val="ListParagraph"/>
      </w:pPr>
      <w:r>
        <w:t xml:space="preserve">It is crucial that you understand the concept of WSFC quorum in order to be successful in SQL Server </w:t>
      </w:r>
      <w:proofErr w:type="spellStart"/>
      <w:r>
        <w:t>AlwaysOn</w:t>
      </w:r>
      <w:proofErr w:type="spellEnd"/>
      <w:r>
        <w:t xml:space="preserve">. This is especially true for a multi-subnet solution like the one discussed in this paper. For more information, see </w:t>
      </w:r>
      <w:hyperlink r:id="rId42" w:history="1">
        <w:r>
          <w:rPr>
            <w:rStyle w:val="Hyperlink"/>
          </w:rPr>
          <w:t>Microsoft SQL Server AlwaysOn Solutions Guide for High Availability and Disaster Recovery</w:t>
        </w:r>
      </w:hyperlink>
      <w:r>
        <w:t xml:space="preserve"> (http://msdn.microsoft.com/en-us/library/hh781257.aspx).</w:t>
      </w:r>
    </w:p>
    <w:p w14:paraId="082DE203" w14:textId="77777777" w:rsidR="001D0985" w:rsidRDefault="001D0985" w:rsidP="001D0985">
      <w:pPr>
        <w:pStyle w:val="ListParagraph"/>
        <w:numPr>
          <w:ilvl w:val="0"/>
          <w:numId w:val="14"/>
        </w:numPr>
      </w:pPr>
      <w:r>
        <w:rPr>
          <w:b/>
        </w:rPr>
        <w:t xml:space="preserve">WSFC Disaster </w:t>
      </w:r>
      <w:proofErr w:type="gramStart"/>
      <w:r>
        <w:rPr>
          <w:b/>
        </w:rPr>
        <w:t>Recovery</w:t>
      </w:r>
      <w:r>
        <w:t xml:space="preserve">  As</w:t>
      </w:r>
      <w:proofErr w:type="gramEnd"/>
      <w:r>
        <w:t xml:space="preserve"> part of your disaster recovery plan, ensure that you have a working plan to recover the WSFC quorum if it is lost. The quorum setting may need to be reconfigured multiple times during the recovery process. For more information about best practices for WSFC disaster recovery, see </w:t>
      </w:r>
      <w:hyperlink r:id="rId43" w:history="1">
        <w:r>
          <w:rPr>
            <w:rStyle w:val="Hyperlink"/>
          </w:rPr>
          <w:t>Microsoft SQL Server AlwaysOn Solutions Guide for High Availability and Disaster Recovery</w:t>
        </w:r>
      </w:hyperlink>
      <w:r>
        <w:t xml:space="preserve"> (http://msdn.microsoft.com/en-us/library/hh781257.aspx).</w:t>
      </w:r>
    </w:p>
    <w:p w14:paraId="634432DA" w14:textId="77777777" w:rsidR="001D0985" w:rsidRDefault="001D0985" w:rsidP="001D0985">
      <w:pPr>
        <w:pStyle w:val="ListParagraph"/>
        <w:numPr>
          <w:ilvl w:val="0"/>
          <w:numId w:val="14"/>
        </w:numPr>
      </w:pPr>
      <w:r>
        <w:rPr>
          <w:b/>
        </w:rPr>
        <w:t xml:space="preserve">Cluster Resource </w:t>
      </w:r>
      <w:proofErr w:type="gramStart"/>
      <w:r>
        <w:rPr>
          <w:b/>
        </w:rPr>
        <w:t xml:space="preserve">Ownership  </w:t>
      </w:r>
      <w:r>
        <w:t>When</w:t>
      </w:r>
      <w:proofErr w:type="gramEnd"/>
      <w:r>
        <w:t xml:space="preserve"> the two FCIs are each hosted by a WSFC cluster, all nodes in each cluster are possible owners for all cluster resources. However, implementing two FCIs in the same WSFC cluster means each FCI resource must have a subset of nodes as possible owners instead of all the nodes in the WSFC cluster. By default, all WSFC nodes are assigned possible ownership of all FCI resource groups. You should exercise care in reassigning resource group ownership to the correct nodes in order to avoid failure during setup and during failovers.</w:t>
      </w:r>
    </w:p>
    <w:p w14:paraId="4A5FC404" w14:textId="77777777" w:rsidR="001D0985" w:rsidRDefault="001D0985" w:rsidP="001D0985">
      <w:pPr>
        <w:pStyle w:val="Heading2"/>
      </w:pPr>
      <w:bookmarkStart w:id="32" w:name="_Toc321126889"/>
      <w:r>
        <w:t xml:space="preserve">Forced Quorum in </w:t>
      </w:r>
      <w:proofErr w:type="spellStart"/>
      <w:r>
        <w:t>AlwaysOn</w:t>
      </w:r>
      <w:proofErr w:type="spellEnd"/>
      <w:r>
        <w:t xml:space="preserve"> Availability Groups</w:t>
      </w:r>
      <w:bookmarkEnd w:id="32"/>
    </w:p>
    <w:p w14:paraId="56EF99BB" w14:textId="61065E68" w:rsidR="001D0985" w:rsidRDefault="001D0985" w:rsidP="001D0985">
      <w:r>
        <w:t xml:space="preserve">When you use asynchronous database mirroring in SQL Server 2008 R2, the mirror database on the remote site needs to perform a </w:t>
      </w:r>
      <w:r>
        <w:rPr>
          <w:i/>
        </w:rPr>
        <w:t>forced service</w:t>
      </w:r>
      <w:r>
        <w:t xml:space="preserve"> to come online if a disaster causes the primary site to go offline. Similarly, in a typical scenario using </w:t>
      </w:r>
      <w:proofErr w:type="spellStart"/>
      <w:r>
        <w:t>AlwaysOn</w:t>
      </w:r>
      <w:proofErr w:type="spellEnd"/>
      <w:r>
        <w:t xml:space="preserve"> Availability Groups, the secondary replica in the remote site needs to perform a </w:t>
      </w:r>
      <w:r>
        <w:rPr>
          <w:i/>
        </w:rPr>
        <w:t>forced quorum</w:t>
      </w:r>
      <w:r>
        <w:t xml:space="preserve"> and a </w:t>
      </w:r>
      <w:r>
        <w:rPr>
          <w:i/>
        </w:rPr>
        <w:t>forced failover</w:t>
      </w:r>
      <w:r>
        <w:t xml:space="preserve"> to come online if a disaster causes the primary site to go offline, because this occurrence usually causes the WSFC cluster to lose quorum. </w:t>
      </w:r>
    </w:p>
    <w:p w14:paraId="40E97154" w14:textId="77777777" w:rsidR="001D0985" w:rsidRDefault="001D0985" w:rsidP="001D0985">
      <w:r>
        <w:lastRenderedPageBreak/>
        <w:t xml:space="preserve">The key difference is that a forced service in database mirroring is performed at the database level, but a forced quorum is performed at the WSFC level and the forced failover is performed at the database level. The loss of the WSFC quorum health causes the WSFC </w:t>
      </w:r>
      <w:proofErr w:type="gramStart"/>
      <w:r>
        <w:t>cluster,</w:t>
      </w:r>
      <w:proofErr w:type="gramEnd"/>
      <w:r>
        <w:t xml:space="preserve"> along with its FCIs and any availability groups it hosts, to go offline as well. Therefore, you must first perform a forced quorum on the WSFC service directly and make sure that the FCI and availability groups are back online; then you must perform a forced failover on the availability group using a Transact-SQL command. </w:t>
      </w:r>
    </w:p>
    <w:p w14:paraId="56AD678D" w14:textId="77777777" w:rsidR="001D0985" w:rsidRDefault="001D0985" w:rsidP="001D0985">
      <w:r>
        <w:t>For more information, see:</w:t>
      </w:r>
    </w:p>
    <w:p w14:paraId="556A635D" w14:textId="77777777" w:rsidR="001D0985" w:rsidRDefault="007A2C7E" w:rsidP="001D0985">
      <w:pPr>
        <w:pStyle w:val="ListParagraph"/>
        <w:numPr>
          <w:ilvl w:val="0"/>
          <w:numId w:val="15"/>
        </w:numPr>
      </w:pPr>
      <w:hyperlink r:id="rId44" w:history="1">
        <w:r w:rsidR="001D0985">
          <w:rPr>
            <w:rStyle w:val="Hyperlink"/>
          </w:rPr>
          <w:t>Disaster Recovery (AlwaysOn Availability Groups)</w:t>
        </w:r>
      </w:hyperlink>
      <w:r w:rsidR="001D0985">
        <w:t xml:space="preserve"> (http://msdn.microsoft.com/en-us/library/hh403411(SQL.110).aspx)</w:t>
      </w:r>
    </w:p>
    <w:p w14:paraId="6D72CA23" w14:textId="77777777" w:rsidR="001D0985" w:rsidRDefault="007A2C7E" w:rsidP="001D0985">
      <w:pPr>
        <w:pStyle w:val="ListParagraph"/>
        <w:numPr>
          <w:ilvl w:val="0"/>
          <w:numId w:val="15"/>
        </w:numPr>
      </w:pPr>
      <w:hyperlink r:id="rId45" w:history="1">
        <w:r w:rsidR="001D0985">
          <w:rPr>
            <w:rStyle w:val="Hyperlink"/>
          </w:rPr>
          <w:t>Force a WSFC Cluster to Start Without a Quorum</w:t>
        </w:r>
      </w:hyperlink>
      <w:r w:rsidR="001D0985">
        <w:t xml:space="preserve"> (http://msdn.microsoft.com/en-us/library/</w:t>
      </w:r>
      <w:proofErr w:type="gramStart"/>
      <w:r w:rsidR="001D0985">
        <w:t>hh270275(</w:t>
      </w:r>
      <w:proofErr w:type="gramEnd"/>
      <w:r w:rsidR="001D0985">
        <w:t>v=SQL.110).aspx).</w:t>
      </w:r>
    </w:p>
    <w:p w14:paraId="67C19B5F" w14:textId="77777777" w:rsidR="001D0985" w:rsidRDefault="007A2C7E" w:rsidP="001D0985">
      <w:pPr>
        <w:pStyle w:val="ListParagraph"/>
        <w:numPr>
          <w:ilvl w:val="0"/>
          <w:numId w:val="15"/>
        </w:numPr>
      </w:pPr>
      <w:hyperlink r:id="rId46" w:history="1">
        <w:r w:rsidR="001D0985">
          <w:rPr>
            <w:rStyle w:val="Hyperlink"/>
          </w:rPr>
          <w:t>ALTER AVAILABILITY GROUP (Transact-SQL)</w:t>
        </w:r>
      </w:hyperlink>
      <w:r w:rsidR="001D0985">
        <w:t xml:space="preserve"> (http://msdn.microsoft.com/en-us/library/ff878601(v=SQL.110).aspx)</w:t>
      </w:r>
    </w:p>
    <w:p w14:paraId="097272B1" w14:textId="77777777" w:rsidR="001D0985" w:rsidRDefault="001D0985" w:rsidP="001D0985">
      <w:pPr>
        <w:pStyle w:val="Heading2"/>
      </w:pPr>
      <w:bookmarkStart w:id="33" w:name="_Toc321126890"/>
      <w:r>
        <w:t>Automatic Failovers and FCI</w:t>
      </w:r>
      <w:bookmarkEnd w:id="33"/>
      <w:r>
        <w:t xml:space="preserve">  </w:t>
      </w:r>
    </w:p>
    <w:p w14:paraId="06A6A85A" w14:textId="77777777" w:rsidR="001D0985" w:rsidRDefault="001D0985" w:rsidP="001D0985">
      <w:r>
        <w:t xml:space="preserve">When an FCI is joined to an availability group, the nodes within the FCI can fail over to each other automatically, but the availability replica on the FCI must manually fail over to or from another replica in the availability group. </w:t>
      </w:r>
      <w:proofErr w:type="spellStart"/>
      <w:r>
        <w:t>AlwaysOn</w:t>
      </w:r>
      <w:proofErr w:type="spellEnd"/>
      <w:r>
        <w:t xml:space="preserve"> Availability Groups does not support automatic failovers to and from an FCI. This should not be a cause for concern because you generally do not want automatic failovers to a disaster recovery site, because you do not want an automatic failover to happen simply because your primary and remote sites lose connectivity with each other. </w:t>
      </w:r>
    </w:p>
    <w:p w14:paraId="42953313" w14:textId="77777777" w:rsidR="001D0985" w:rsidRDefault="001D0985" w:rsidP="001D0985">
      <w:pPr>
        <w:pStyle w:val="Heading2"/>
      </w:pPr>
      <w:bookmarkStart w:id="34" w:name="_Client_Connectivityon_StringManagem"/>
      <w:bookmarkStart w:id="35" w:name="_Ref316029877"/>
      <w:bookmarkStart w:id="36" w:name="_Ref316029915"/>
      <w:bookmarkStart w:id="37" w:name="_Ref316303438"/>
      <w:bookmarkStart w:id="38" w:name="_Ref317768816"/>
      <w:bookmarkStart w:id="39" w:name="_Toc321126891"/>
      <w:bookmarkEnd w:id="34"/>
      <w:r>
        <w:t xml:space="preserve">Client Connectivity Strategy </w:t>
      </w:r>
      <w:proofErr w:type="gramStart"/>
      <w:r>
        <w:t>During</w:t>
      </w:r>
      <w:proofErr w:type="gramEnd"/>
      <w:r>
        <w:t xml:space="preserve"> Migration</w:t>
      </w:r>
      <w:bookmarkEnd w:id="35"/>
      <w:bookmarkEnd w:id="36"/>
      <w:bookmarkEnd w:id="37"/>
      <w:bookmarkEnd w:id="38"/>
      <w:bookmarkEnd w:id="39"/>
    </w:p>
    <w:p w14:paraId="70D54A73" w14:textId="77777777" w:rsidR="001D0985" w:rsidRDefault="001D0985" w:rsidP="001D0985">
      <w:r>
        <w:t xml:space="preserve">Depending on your specific migration scenario, your client connection strings may need to be changed multiple times in order to maintain connectivity during the migration process. Connection strings that client applications use to connect to the </w:t>
      </w:r>
      <w:proofErr w:type="spellStart"/>
      <w:r>
        <w:t>premigration</w:t>
      </w:r>
      <w:proofErr w:type="spellEnd"/>
      <w:r>
        <w:t xml:space="preserve"> solution may look similar to the following:</w:t>
      </w:r>
    </w:p>
    <w:p w14:paraId="419602DB" w14:textId="77777777" w:rsidR="001D0985" w:rsidRDefault="001D0985" w:rsidP="001D0985">
      <w:pPr>
        <w:pStyle w:val="Scripts2"/>
        <w:ind w:left="0"/>
      </w:pPr>
      <w:r>
        <w:t>Server=</w:t>
      </w:r>
      <w:r>
        <w:rPr>
          <w:i/>
        </w:rPr>
        <w:t>&lt;</w:t>
      </w:r>
      <w:proofErr w:type="spellStart"/>
      <w:r>
        <w:rPr>
          <w:i/>
        </w:rPr>
        <w:t>Partner_A</w:t>
      </w:r>
      <w:proofErr w:type="spellEnd"/>
      <w:r>
        <w:rPr>
          <w:i/>
        </w:rPr>
        <w:t>&gt;</w:t>
      </w:r>
      <w:r>
        <w:t>\</w:t>
      </w:r>
      <w:r>
        <w:rPr>
          <w:i/>
        </w:rPr>
        <w:t>&lt;Port&gt;</w:t>
      </w:r>
      <w:r>
        <w:t xml:space="preserve">; </w:t>
      </w:r>
      <w:proofErr w:type="spellStart"/>
      <w:r>
        <w:t>Failover_Partner</w:t>
      </w:r>
      <w:proofErr w:type="spellEnd"/>
      <w:r>
        <w:t>=</w:t>
      </w:r>
      <w:r>
        <w:rPr>
          <w:i/>
        </w:rPr>
        <w:t>&lt;</w:t>
      </w:r>
      <w:proofErr w:type="spellStart"/>
      <w:r>
        <w:rPr>
          <w:i/>
        </w:rPr>
        <w:t>Partner_B</w:t>
      </w:r>
      <w:proofErr w:type="spellEnd"/>
      <w:r>
        <w:rPr>
          <w:i/>
        </w:rPr>
        <w:t>&gt;</w:t>
      </w:r>
      <w:r>
        <w:t>\</w:t>
      </w:r>
      <w:r>
        <w:rPr>
          <w:i/>
        </w:rPr>
        <w:t>&lt;Port&gt;</w:t>
      </w:r>
      <w:r>
        <w:t>; Database=</w:t>
      </w:r>
      <w:r>
        <w:rPr>
          <w:i/>
        </w:rPr>
        <w:t>&lt;</w:t>
      </w:r>
      <w:proofErr w:type="spellStart"/>
      <w:r>
        <w:rPr>
          <w:i/>
        </w:rPr>
        <w:t>DB_Name</w:t>
      </w:r>
      <w:proofErr w:type="spellEnd"/>
      <w:r>
        <w:rPr>
          <w:i/>
        </w:rPr>
        <w:t>&gt;</w:t>
      </w:r>
      <w:r>
        <w:t>; Network=</w:t>
      </w:r>
      <w:proofErr w:type="spellStart"/>
      <w:r>
        <w:t>dbmssocn</w:t>
      </w:r>
      <w:proofErr w:type="spellEnd"/>
    </w:p>
    <w:p w14:paraId="32F866BF" w14:textId="77777777" w:rsidR="001D0985" w:rsidRDefault="001D0985" w:rsidP="001D0985">
      <w:r>
        <w:t xml:space="preserve">In certain steps of the migration sequence, you can simply disconnect the mirror server in the database mirroring configuration (change mirroring state to </w:t>
      </w:r>
      <w:r>
        <w:rPr>
          <w:i/>
        </w:rPr>
        <w:t>disconnected</w:t>
      </w:r>
      <w:r>
        <w:t>) to allow this connection string to work. However, this approach is not recommended for very high transaction volume workloads. When you disconnect the mirror server, the log disk space on the principal server continues to fill up until the database mirroring session is reestablished. For Tier-1 implementations with high transaction throughput numbers, this is not a viable option, given that the duration for reconfiguring new FCIs and reestablishing a mirroring session can take a long time, and the principal server is likely to suffer from disk space exhaustion.</w:t>
      </w:r>
    </w:p>
    <w:p w14:paraId="7E8A8965" w14:textId="77777777" w:rsidR="001D0985" w:rsidRDefault="001D0985" w:rsidP="001D0985">
      <w:r>
        <w:t xml:space="preserve">As an alternative, consider removing the database mirroring configuration altogether instead. The connection string continues to work if the </w:t>
      </w:r>
      <w:r>
        <w:rPr>
          <w:rFonts w:ascii="Courier New" w:hAnsi="Courier New" w:cs="Courier New"/>
          <w:sz w:val="18"/>
          <w:szCs w:val="18"/>
        </w:rPr>
        <w:t>Server</w:t>
      </w:r>
      <w:r>
        <w:t xml:space="preserve"> parameter points to the principal server in the database mirroring configuration that has since been removed. This approach does not cause the transactional logs to fill up.</w:t>
      </w:r>
    </w:p>
    <w:p w14:paraId="23C5E9FE" w14:textId="77777777" w:rsidR="001D0985" w:rsidRDefault="001D0985" w:rsidP="001D0985">
      <w:r>
        <w:lastRenderedPageBreak/>
        <w:t xml:space="preserve">In addition, </w:t>
      </w:r>
      <w:proofErr w:type="spellStart"/>
      <w:r>
        <w:t>AlwaysOn</w:t>
      </w:r>
      <w:proofErr w:type="spellEnd"/>
      <w:r>
        <w:t xml:space="preserve"> Availability Groups are designed to be backward compatible with database mirroring, so the </w:t>
      </w:r>
      <w:r>
        <w:rPr>
          <w:rFonts w:ascii="Courier New" w:hAnsi="Courier New" w:cs="Courier New"/>
          <w:sz w:val="18"/>
          <w:szCs w:val="18"/>
        </w:rPr>
        <w:t>Server=</w:t>
      </w:r>
      <w:r>
        <w:rPr>
          <w:rFonts w:ascii="Courier New" w:hAnsi="Courier New" w:cs="Courier New"/>
          <w:i/>
          <w:sz w:val="18"/>
          <w:szCs w:val="18"/>
        </w:rPr>
        <w:t>&lt;</w:t>
      </w:r>
      <w:proofErr w:type="spellStart"/>
      <w:r>
        <w:rPr>
          <w:rFonts w:ascii="Courier New" w:hAnsi="Courier New" w:cs="Courier New"/>
          <w:i/>
          <w:sz w:val="18"/>
          <w:szCs w:val="18"/>
        </w:rPr>
        <w:t>Partner_A</w:t>
      </w:r>
      <w:proofErr w:type="spellEnd"/>
      <w:r>
        <w:rPr>
          <w:rFonts w:ascii="Courier New" w:hAnsi="Courier New" w:cs="Courier New"/>
          <w:i/>
          <w:sz w:val="18"/>
          <w:szCs w:val="18"/>
        </w:rPr>
        <w:t>&gt;</w:t>
      </w:r>
      <w:r>
        <w:rPr>
          <w:rFonts w:ascii="Courier New" w:hAnsi="Courier New" w:cs="Courier New"/>
          <w:sz w:val="18"/>
          <w:szCs w:val="18"/>
        </w:rPr>
        <w:t>\</w:t>
      </w:r>
      <w:r>
        <w:rPr>
          <w:rFonts w:ascii="Courier New" w:hAnsi="Courier New" w:cs="Courier New"/>
          <w:i/>
          <w:sz w:val="18"/>
          <w:szCs w:val="18"/>
        </w:rPr>
        <w:t>&lt;Port&gt;</w:t>
      </w:r>
      <w:r>
        <w:rPr>
          <w:rFonts w:ascii="Courier New" w:hAnsi="Courier New" w:cs="Courier New"/>
          <w:sz w:val="18"/>
          <w:szCs w:val="18"/>
        </w:rPr>
        <w:t xml:space="preserve">; </w:t>
      </w:r>
      <w:proofErr w:type="spellStart"/>
      <w:r>
        <w:rPr>
          <w:rFonts w:ascii="Courier New" w:hAnsi="Courier New" w:cs="Courier New"/>
          <w:sz w:val="18"/>
          <w:szCs w:val="18"/>
        </w:rPr>
        <w:t>Failover_Partner</w:t>
      </w:r>
      <w:proofErr w:type="spellEnd"/>
      <w:r>
        <w:rPr>
          <w:rFonts w:ascii="Courier New" w:hAnsi="Courier New" w:cs="Courier New"/>
          <w:sz w:val="18"/>
          <w:szCs w:val="18"/>
        </w:rPr>
        <w:t>=</w:t>
      </w:r>
      <w:r>
        <w:rPr>
          <w:rFonts w:ascii="Courier New" w:hAnsi="Courier New" w:cs="Courier New"/>
          <w:i/>
          <w:sz w:val="18"/>
          <w:szCs w:val="18"/>
        </w:rPr>
        <w:t>&lt;</w:t>
      </w:r>
      <w:proofErr w:type="spellStart"/>
      <w:r>
        <w:rPr>
          <w:rFonts w:ascii="Courier New" w:hAnsi="Courier New" w:cs="Courier New"/>
          <w:i/>
          <w:sz w:val="18"/>
          <w:szCs w:val="18"/>
        </w:rPr>
        <w:t>Partner_B</w:t>
      </w:r>
      <w:proofErr w:type="spellEnd"/>
      <w:r>
        <w:rPr>
          <w:rFonts w:ascii="Courier New" w:hAnsi="Courier New" w:cs="Courier New"/>
          <w:i/>
          <w:sz w:val="18"/>
          <w:szCs w:val="18"/>
        </w:rPr>
        <w:t>&gt;</w:t>
      </w:r>
      <w:r>
        <w:rPr>
          <w:rFonts w:ascii="Courier New" w:hAnsi="Courier New" w:cs="Courier New"/>
          <w:sz w:val="18"/>
          <w:szCs w:val="18"/>
        </w:rPr>
        <w:t>\</w:t>
      </w:r>
      <w:r>
        <w:rPr>
          <w:rFonts w:ascii="Courier New" w:hAnsi="Courier New" w:cs="Courier New"/>
          <w:i/>
          <w:sz w:val="18"/>
          <w:szCs w:val="18"/>
        </w:rPr>
        <w:t>&lt;Port&gt;</w:t>
      </w:r>
      <w:r>
        <w:rPr>
          <w:rFonts w:ascii="Courier New" w:hAnsi="Courier New" w:cs="Courier New"/>
          <w:sz w:val="18"/>
          <w:szCs w:val="18"/>
        </w:rPr>
        <w:t>;</w:t>
      </w:r>
      <w:r>
        <w:t xml:space="preserve"> construct can continue to work if the following are true:</w:t>
      </w:r>
    </w:p>
    <w:p w14:paraId="7AAE8A50" w14:textId="77777777" w:rsidR="001D0985" w:rsidRDefault="001D0985" w:rsidP="001D0985">
      <w:pPr>
        <w:pStyle w:val="ListParagraph"/>
        <w:numPr>
          <w:ilvl w:val="0"/>
          <w:numId w:val="16"/>
        </w:numPr>
      </w:pPr>
      <w:r>
        <w:t xml:space="preserve">The availability group only contains one </w:t>
      </w:r>
      <w:proofErr w:type="spellStart"/>
      <w:r>
        <w:t>nonreadable</w:t>
      </w:r>
      <w:proofErr w:type="spellEnd"/>
      <w:r>
        <w:t xml:space="preserve"> secondary replica (analogous to the mirror server). </w:t>
      </w:r>
    </w:p>
    <w:p w14:paraId="14FD257D" w14:textId="77777777" w:rsidR="001D0985" w:rsidRDefault="001D0985" w:rsidP="001D0985">
      <w:pPr>
        <w:pStyle w:val="ListParagraph"/>
        <w:numPr>
          <w:ilvl w:val="0"/>
          <w:numId w:val="16"/>
        </w:numPr>
      </w:pPr>
      <w:r>
        <w:t xml:space="preserve">The FCI names do not need to be modified (see </w:t>
      </w:r>
      <w:r>
        <w:rPr>
          <w:rStyle w:val="HyperlinkforCross-References"/>
        </w:rPr>
        <w:fldChar w:fldCharType="begin"/>
      </w:r>
      <w:r>
        <w:rPr>
          <w:rStyle w:val="HyperlinkforCross-References"/>
        </w:rPr>
        <w:instrText xml:space="preserve"> REF _Ref317768478 \h  \* MERGEFORMAT </w:instrText>
      </w:r>
      <w:r>
        <w:rPr>
          <w:rStyle w:val="HyperlinkforCross-References"/>
        </w:rPr>
      </w:r>
      <w:r>
        <w:rPr>
          <w:rStyle w:val="HyperlinkforCross-References"/>
        </w:rPr>
        <w:fldChar w:fldCharType="separate"/>
      </w:r>
      <w:proofErr w:type="spellStart"/>
      <w:r>
        <w:rPr>
          <w:rStyle w:val="HyperlinkforCross-References"/>
        </w:rPr>
        <w:t>AlwaysOn</w:t>
      </w:r>
      <w:proofErr w:type="spellEnd"/>
      <w:r>
        <w:rPr>
          <w:rStyle w:val="HyperlinkforCross-References"/>
        </w:rPr>
        <w:t xml:space="preserve"> Availability Groups and Windows Server Failover Clustering</w:t>
      </w:r>
      <w:r>
        <w:rPr>
          <w:rStyle w:val="HyperlinkforCross-References"/>
        </w:rPr>
        <w:fldChar w:fldCharType="end"/>
      </w:r>
      <w:r>
        <w:t xml:space="preserve">). </w:t>
      </w:r>
    </w:p>
    <w:p w14:paraId="4E93DACA" w14:textId="77777777" w:rsidR="001D0985" w:rsidRDefault="001D0985" w:rsidP="001D0985">
      <w:r>
        <w:t xml:space="preserve">Doing so makes it possible to tweak the steps of </w:t>
      </w:r>
      <w:r>
        <w:rPr>
          <w:rStyle w:val="HyperlinkforCross-References"/>
        </w:rPr>
        <w:fldChar w:fldCharType="begin"/>
      </w:r>
      <w:r>
        <w:rPr>
          <w:rStyle w:val="HyperlinkforCross-References"/>
        </w:rPr>
        <w:instrText xml:space="preserve"> REF _Ref316303695 \h  \* MERGEFORMAT </w:instrText>
      </w:r>
      <w:r>
        <w:rPr>
          <w:rStyle w:val="HyperlinkforCross-References"/>
        </w:rPr>
      </w:r>
      <w:r>
        <w:rPr>
          <w:rStyle w:val="HyperlinkforCross-References"/>
        </w:rPr>
        <w:fldChar w:fldCharType="separate"/>
      </w:r>
      <w:r>
        <w:rPr>
          <w:rStyle w:val="HyperlinkforCross-References"/>
        </w:rPr>
        <w:t xml:space="preserve">Migration </w:t>
      </w:r>
      <w:proofErr w:type="gramStart"/>
      <w:r>
        <w:rPr>
          <w:rStyle w:val="HyperlinkforCross-References"/>
        </w:rPr>
        <w:t>Without</w:t>
      </w:r>
      <w:proofErr w:type="gramEnd"/>
      <w:r>
        <w:rPr>
          <w:rStyle w:val="HyperlinkforCross-References"/>
        </w:rPr>
        <w:t xml:space="preserve"> Intermediate Hardware</w:t>
      </w:r>
      <w:r>
        <w:rPr>
          <w:rStyle w:val="HyperlinkforCross-References"/>
        </w:rPr>
        <w:fldChar w:fldCharType="end"/>
      </w:r>
      <w:r>
        <w:t xml:space="preserve"> to maintain client connectivity without the need for any client reconfiguration.</w:t>
      </w:r>
    </w:p>
    <w:p w14:paraId="193D61EF" w14:textId="77777777" w:rsidR="001D0985" w:rsidRDefault="001D0985" w:rsidP="001D0985">
      <w:pPr>
        <w:pStyle w:val="Heading3"/>
      </w:pPr>
      <w:bookmarkStart w:id="40" w:name="_Ref316307620"/>
      <w:bookmarkStart w:id="41" w:name="_Toc321126892"/>
      <w:r>
        <w:t xml:space="preserve">Client Connectivity in Migration </w:t>
      </w:r>
      <w:proofErr w:type="gramStart"/>
      <w:r>
        <w:t>Without</w:t>
      </w:r>
      <w:proofErr w:type="gramEnd"/>
      <w:r>
        <w:t xml:space="preserve"> Intermediate Hardware</w:t>
      </w:r>
      <w:bookmarkEnd w:id="40"/>
      <w:bookmarkEnd w:id="41"/>
    </w:p>
    <w:p w14:paraId="62E2CC8A" w14:textId="77777777" w:rsidR="001D0985" w:rsidRDefault="001D0985" w:rsidP="001D0985">
      <w:r>
        <w:t xml:space="preserve">As discussed earlier, it is possible to maintain client connectivity without client reconfiguration in </w:t>
      </w:r>
      <w:r>
        <w:rPr>
          <w:rStyle w:val="HyperlinkforCross-References"/>
        </w:rPr>
        <w:fldChar w:fldCharType="begin"/>
      </w:r>
      <w:r>
        <w:rPr>
          <w:rStyle w:val="HyperlinkforCross-References"/>
        </w:rPr>
        <w:instrText xml:space="preserve"> REF _Ref316303695 \h  \* MERGEFORMAT </w:instrText>
      </w:r>
      <w:r>
        <w:rPr>
          <w:rStyle w:val="HyperlinkforCross-References"/>
        </w:rPr>
      </w:r>
      <w:r>
        <w:rPr>
          <w:rStyle w:val="HyperlinkforCross-References"/>
        </w:rPr>
        <w:fldChar w:fldCharType="separate"/>
      </w:r>
      <w:r>
        <w:rPr>
          <w:rStyle w:val="HyperlinkforCross-References"/>
        </w:rPr>
        <w:t xml:space="preserve">Migration </w:t>
      </w:r>
      <w:proofErr w:type="gramStart"/>
      <w:r>
        <w:rPr>
          <w:rStyle w:val="HyperlinkforCross-References"/>
        </w:rPr>
        <w:t>Without</w:t>
      </w:r>
      <w:proofErr w:type="gramEnd"/>
      <w:r>
        <w:rPr>
          <w:rStyle w:val="HyperlinkforCross-References"/>
        </w:rPr>
        <w:t xml:space="preserve"> Intermediate Hardware</w:t>
      </w:r>
      <w:r>
        <w:rPr>
          <w:rStyle w:val="HyperlinkforCross-References"/>
        </w:rPr>
        <w:fldChar w:fldCharType="end"/>
      </w:r>
      <w:r>
        <w:rPr>
          <w:rStyle w:val="HyperlinkforCross-References"/>
        </w:rPr>
        <w:t xml:space="preserve">. </w:t>
      </w:r>
      <w:r>
        <w:t>Consider the following approach:</w:t>
      </w:r>
    </w:p>
    <w:p w14:paraId="31CDA53F" w14:textId="77777777" w:rsidR="001D0985" w:rsidRDefault="001D0985" w:rsidP="001D0985">
      <w:pPr>
        <w:pStyle w:val="ListParagraph"/>
        <w:numPr>
          <w:ilvl w:val="0"/>
          <w:numId w:val="17"/>
        </w:numPr>
      </w:pPr>
      <w:r>
        <w:t xml:space="preserve">Before you start the migration process, make sure that all client connection strings have FCI1 on the primary site in the </w:t>
      </w:r>
      <w:r>
        <w:rPr>
          <w:rFonts w:ascii="Courier New" w:hAnsi="Courier New" w:cs="Courier New"/>
          <w:sz w:val="18"/>
          <w:szCs w:val="18"/>
        </w:rPr>
        <w:t>Server</w:t>
      </w:r>
      <w:r>
        <w:t xml:space="preserve"> parameter and (if using the </w:t>
      </w:r>
      <w:proofErr w:type="spellStart"/>
      <w:r>
        <w:rPr>
          <w:rFonts w:ascii="Courier New" w:hAnsi="Courier New" w:cs="Courier New"/>
          <w:sz w:val="18"/>
          <w:szCs w:val="18"/>
        </w:rPr>
        <w:t>Failover_Partner</w:t>
      </w:r>
      <w:proofErr w:type="spellEnd"/>
      <w:r>
        <w:t xml:space="preserve"> parameter) FCI2 on the remote site in the </w:t>
      </w:r>
      <w:proofErr w:type="spellStart"/>
      <w:r>
        <w:rPr>
          <w:rFonts w:ascii="Courier New" w:hAnsi="Courier New" w:cs="Courier New"/>
          <w:sz w:val="18"/>
          <w:szCs w:val="18"/>
        </w:rPr>
        <w:t>Failover_Partner</w:t>
      </w:r>
      <w:proofErr w:type="spellEnd"/>
      <w:r>
        <w:t xml:space="preserve"> parameter.</w:t>
      </w:r>
    </w:p>
    <w:p w14:paraId="394936EE" w14:textId="77777777" w:rsidR="001D0985" w:rsidRDefault="001D0985" w:rsidP="001D0985">
      <w:pPr>
        <w:pStyle w:val="ListParagraph"/>
        <w:numPr>
          <w:ilvl w:val="0"/>
          <w:numId w:val="17"/>
        </w:numPr>
      </w:pPr>
      <w:r>
        <w:t>When you create the availability group, configure FCI2 on the remote site as a non-readable secondary replica.</w:t>
      </w:r>
    </w:p>
    <w:p w14:paraId="48CD2885" w14:textId="77777777" w:rsidR="001D0985" w:rsidRDefault="001D0985" w:rsidP="001D0985">
      <w:pPr>
        <w:pStyle w:val="ListParagraph"/>
        <w:numPr>
          <w:ilvl w:val="0"/>
          <w:numId w:val="17"/>
        </w:numPr>
      </w:pPr>
      <w:r>
        <w:t xml:space="preserve">At your convenience, modify all client connection strings by removing the </w:t>
      </w:r>
      <w:proofErr w:type="spellStart"/>
      <w:r>
        <w:rPr>
          <w:rFonts w:ascii="Courier New" w:hAnsi="Courier New" w:cs="Courier New"/>
          <w:sz w:val="18"/>
          <w:szCs w:val="18"/>
        </w:rPr>
        <w:t>Failover_Partner</w:t>
      </w:r>
      <w:proofErr w:type="spellEnd"/>
      <w:r>
        <w:t xml:space="preserve"> parameter and using the availability group listener in the </w:t>
      </w:r>
      <w:r>
        <w:rPr>
          <w:rFonts w:ascii="Courier New" w:hAnsi="Courier New" w:cs="Courier New"/>
          <w:sz w:val="18"/>
          <w:szCs w:val="18"/>
        </w:rPr>
        <w:t>Server</w:t>
      </w:r>
      <w:r>
        <w:t xml:space="preserve"> parameter.</w:t>
      </w:r>
    </w:p>
    <w:p w14:paraId="01984AEA" w14:textId="77777777" w:rsidR="001D0985" w:rsidRDefault="001D0985" w:rsidP="001D0985">
      <w:pPr>
        <w:pStyle w:val="ListParagraph"/>
        <w:numPr>
          <w:ilvl w:val="0"/>
          <w:numId w:val="17"/>
        </w:numPr>
      </w:pPr>
      <w:r>
        <w:t>After all client connection strings have been modified, reconfigure FCI2 on the remote site as a readable secondary replica, if desired.</w:t>
      </w:r>
    </w:p>
    <w:p w14:paraId="4A7EA941" w14:textId="77777777" w:rsidR="001D0985" w:rsidRDefault="001D0985" w:rsidP="001D0985">
      <w:pPr>
        <w:pStyle w:val="Heading3"/>
      </w:pPr>
      <w:bookmarkStart w:id="42" w:name="_Ref317077113"/>
      <w:bookmarkStart w:id="43" w:name="_Ref316987035"/>
      <w:bookmarkStart w:id="44" w:name="_Ref316987019"/>
      <w:bookmarkStart w:id="45" w:name="_Toc321126893"/>
      <w:r>
        <w:t>Client Connectivity in Migration with Intermediate Hardware</w:t>
      </w:r>
      <w:bookmarkEnd w:id="42"/>
      <w:bookmarkEnd w:id="43"/>
      <w:bookmarkEnd w:id="44"/>
      <w:bookmarkEnd w:id="45"/>
    </w:p>
    <w:p w14:paraId="78300FEF" w14:textId="77777777" w:rsidR="001D0985" w:rsidRDefault="001D0985" w:rsidP="001D0985">
      <w:r>
        <w:t xml:space="preserve">To reduce the need for client reconfiguration in </w:t>
      </w:r>
      <w:r>
        <w:rPr>
          <w:rStyle w:val="HyperlinkforCross-References"/>
        </w:rPr>
        <w:fldChar w:fldCharType="begin"/>
      </w:r>
      <w:r>
        <w:rPr>
          <w:rStyle w:val="HyperlinkforCross-References"/>
        </w:rPr>
        <w:instrText xml:space="preserve"> REF _Ref316304144 \h  \* MERGEFORMAT </w:instrText>
      </w:r>
      <w:r>
        <w:rPr>
          <w:rStyle w:val="HyperlinkforCross-References"/>
        </w:rPr>
      </w:r>
      <w:r>
        <w:rPr>
          <w:rStyle w:val="HyperlinkforCross-References"/>
        </w:rPr>
        <w:fldChar w:fldCharType="separate"/>
      </w:r>
      <w:r>
        <w:rPr>
          <w:rStyle w:val="HyperlinkforCross-References"/>
        </w:rPr>
        <w:t xml:space="preserve">Migration </w:t>
      </w:r>
      <w:proofErr w:type="gramStart"/>
      <w:r>
        <w:rPr>
          <w:rStyle w:val="HyperlinkforCross-References"/>
        </w:rPr>
        <w:t>With</w:t>
      </w:r>
      <w:proofErr w:type="gramEnd"/>
      <w:r>
        <w:rPr>
          <w:rStyle w:val="HyperlinkforCross-References"/>
        </w:rPr>
        <w:t xml:space="preserve"> Intermediate Hardware</w:t>
      </w:r>
      <w:r>
        <w:rPr>
          <w:rStyle w:val="HyperlinkforCross-References"/>
        </w:rPr>
        <w:fldChar w:fldCharType="end"/>
      </w:r>
      <w:r>
        <w:t>, consider the following approach:</w:t>
      </w:r>
    </w:p>
    <w:p w14:paraId="66E029A6" w14:textId="77777777" w:rsidR="001D0985" w:rsidRDefault="001D0985" w:rsidP="001D0985">
      <w:pPr>
        <w:pStyle w:val="ListParagraph"/>
        <w:numPr>
          <w:ilvl w:val="0"/>
          <w:numId w:val="18"/>
        </w:numPr>
      </w:pPr>
      <w:r>
        <w:t>Create a VNN on the DNS server and point it to the principal server in the database mirroring configuration (FCI in the primary site). Give this VNN a name that is different from the availability group listener you plan to use.</w:t>
      </w:r>
    </w:p>
    <w:p w14:paraId="40AABFD0" w14:textId="77777777" w:rsidR="001D0985" w:rsidRDefault="001D0985" w:rsidP="001D0985">
      <w:pPr>
        <w:pStyle w:val="ListParagraph"/>
        <w:numPr>
          <w:ilvl w:val="0"/>
          <w:numId w:val="18"/>
        </w:numPr>
      </w:pPr>
      <w:r>
        <w:t>Make sure both FCIs on the primary and remote sites, as well as the temporary FCI you create, listen to the same port. This makes it possible to redirect the VNN to the remote site if you must perform disaster recovery during the migration process.</w:t>
      </w:r>
    </w:p>
    <w:p w14:paraId="718D67B9" w14:textId="77777777" w:rsidR="001D0985" w:rsidRDefault="001D0985" w:rsidP="001D0985">
      <w:pPr>
        <w:pStyle w:val="ListParagraph"/>
        <w:numPr>
          <w:ilvl w:val="0"/>
          <w:numId w:val="18"/>
        </w:numPr>
      </w:pPr>
      <w:r>
        <w:t>Prior to the migration process, reconfigure your clients to use the following connection string:</w:t>
      </w:r>
    </w:p>
    <w:p w14:paraId="58D12A41" w14:textId="77777777" w:rsidR="001D0985" w:rsidRDefault="001D0985" w:rsidP="001D0985">
      <w:pPr>
        <w:pStyle w:val="Scripts2"/>
      </w:pPr>
      <w:r>
        <w:t>Server=VNN-Principal\</w:t>
      </w:r>
      <w:r>
        <w:rPr>
          <w:i/>
        </w:rPr>
        <w:t>&lt;port&gt;</w:t>
      </w:r>
      <w:r>
        <w:t>; Database=</w:t>
      </w:r>
      <w:r>
        <w:rPr>
          <w:i/>
        </w:rPr>
        <w:t>&lt;</w:t>
      </w:r>
      <w:proofErr w:type="spellStart"/>
      <w:r>
        <w:rPr>
          <w:i/>
        </w:rPr>
        <w:t>DB_Name</w:t>
      </w:r>
      <w:proofErr w:type="spellEnd"/>
      <w:r>
        <w:rPr>
          <w:i/>
        </w:rPr>
        <w:t>&gt;</w:t>
      </w:r>
      <w:r>
        <w:t>; Network=</w:t>
      </w:r>
      <w:proofErr w:type="spellStart"/>
      <w:r>
        <w:t>dbmssocn</w:t>
      </w:r>
      <w:proofErr w:type="spellEnd"/>
    </w:p>
    <w:p w14:paraId="6B4ED7CD" w14:textId="77777777" w:rsidR="001D0985" w:rsidRDefault="001D0985" w:rsidP="001D0985">
      <w:pPr>
        <w:pStyle w:val="ListParagraph"/>
        <w:numPr>
          <w:ilvl w:val="0"/>
          <w:numId w:val="18"/>
        </w:numPr>
      </w:pPr>
      <w:r>
        <w:t>Whenever the database mirroring configuration changes, update the VNN to point to the new principal server.</w:t>
      </w:r>
    </w:p>
    <w:p w14:paraId="4AB9CBA8" w14:textId="77777777" w:rsidR="001D0985" w:rsidRDefault="001D0985" w:rsidP="001D0985">
      <w:pPr>
        <w:pStyle w:val="ListParagraph"/>
        <w:numPr>
          <w:ilvl w:val="0"/>
          <w:numId w:val="18"/>
        </w:numPr>
      </w:pPr>
      <w:r>
        <w:t>Immediately after you create the availability group with the availability group listener, modify the VNN to point to the availability group listener.</w:t>
      </w:r>
    </w:p>
    <w:p w14:paraId="54C6D35B" w14:textId="77777777" w:rsidR="001D0985" w:rsidRDefault="001D0985" w:rsidP="001D0985">
      <w:pPr>
        <w:keepNext/>
      </w:pPr>
      <w:r>
        <w:lastRenderedPageBreak/>
        <w:t>For more information, see:</w:t>
      </w:r>
    </w:p>
    <w:p w14:paraId="6AA73667" w14:textId="77777777" w:rsidR="001D0985" w:rsidRDefault="007A2C7E" w:rsidP="001D0985">
      <w:pPr>
        <w:pStyle w:val="ListParagraph"/>
        <w:keepNext/>
        <w:numPr>
          <w:ilvl w:val="0"/>
          <w:numId w:val="19"/>
        </w:numPr>
      </w:pPr>
      <w:hyperlink r:id="rId47" w:history="1">
        <w:r w:rsidR="001D0985">
          <w:rPr>
            <w:rStyle w:val="Hyperlink"/>
          </w:rPr>
          <w:t>Availability Group Listeners, Client Connectivity, and Application Failover (SQL Server)</w:t>
        </w:r>
      </w:hyperlink>
      <w:r w:rsidR="001D0985">
        <w:t xml:space="preserve"> (http://msdn.microsoft.com/en-us/library/hh213417(v=sql.110).aspx)</w:t>
      </w:r>
    </w:p>
    <w:p w14:paraId="2BDF0049" w14:textId="77777777" w:rsidR="001D0985" w:rsidRDefault="007A2C7E" w:rsidP="001D0985">
      <w:pPr>
        <w:pStyle w:val="ListParagraph"/>
        <w:keepNext/>
        <w:numPr>
          <w:ilvl w:val="0"/>
          <w:numId w:val="19"/>
        </w:numPr>
      </w:pPr>
      <w:hyperlink r:id="rId48" w:history="1">
        <w:r w:rsidR="001D0985">
          <w:rPr>
            <w:rStyle w:val="Hyperlink"/>
          </w:rPr>
          <w:t>Microsoft SQL Server AlwaysOn Solutions Guide for High Availability and Disaster Recovery</w:t>
        </w:r>
      </w:hyperlink>
      <w:r w:rsidR="001D0985">
        <w:t xml:space="preserve"> (http://msdn.microsoft.com/en-us/library/hh781257.aspx)</w:t>
      </w:r>
    </w:p>
    <w:p w14:paraId="251AB575" w14:textId="77777777" w:rsidR="001D0985" w:rsidRDefault="001D0985" w:rsidP="001D0985">
      <w:pPr>
        <w:pStyle w:val="Heading1"/>
      </w:pPr>
      <w:bookmarkStart w:id="46" w:name="_Toc260989127"/>
      <w:bookmarkStart w:id="47" w:name="_Toc319352789"/>
      <w:bookmarkStart w:id="48" w:name="_Toc321126894"/>
      <w:r>
        <w:t>Conclusion</w:t>
      </w:r>
      <w:bookmarkEnd w:id="46"/>
      <w:bookmarkEnd w:id="47"/>
      <w:bookmarkEnd w:id="48"/>
    </w:p>
    <w:p w14:paraId="0CB0012E" w14:textId="396C23BB" w:rsidR="001D0985" w:rsidRDefault="001D0985" w:rsidP="001D0985">
      <w:pPr>
        <w:rPr>
          <w:rFonts w:cstheme="minorHAnsi"/>
        </w:rPr>
      </w:pPr>
      <w:r>
        <w:rPr>
          <w:rFonts w:cstheme="minorHAnsi"/>
        </w:rPr>
        <w:t xml:space="preserve">SQL Server 2012 offers new capabilities for HADR solutions with SQL Server </w:t>
      </w:r>
      <w:proofErr w:type="spellStart"/>
      <w:r>
        <w:rPr>
          <w:rFonts w:cstheme="minorHAnsi"/>
        </w:rPr>
        <w:t>AlwaysOn</w:t>
      </w:r>
      <w:proofErr w:type="spellEnd"/>
      <w:r>
        <w:rPr>
          <w:rFonts w:cstheme="minorHAnsi"/>
        </w:rPr>
        <w:t xml:space="preserve"> technology. This paper gives practical guidance for you to migrate from a FCI and database mirroring HADR solution prior to SQL Server 2012 to a SQL Server </w:t>
      </w:r>
      <w:proofErr w:type="spellStart"/>
      <w:r>
        <w:rPr>
          <w:rFonts w:cstheme="minorHAnsi"/>
        </w:rPr>
        <w:t>AlwaysOn</w:t>
      </w:r>
      <w:proofErr w:type="spellEnd"/>
      <w:r>
        <w:rPr>
          <w:rFonts w:cstheme="minorHAnsi"/>
        </w:rPr>
        <w:t xml:space="preserve"> solution in SQL Server 2012. It describes two main approaches. </w:t>
      </w:r>
      <w:hyperlink r:id="rId49" w:history="1">
        <w:r w:rsidRPr="00675EBB">
          <w:rPr>
            <w:rStyle w:val="Hyperlink"/>
            <w:rFonts w:cstheme="minorHAnsi"/>
          </w:rPr>
          <w:t>Part II</w:t>
        </w:r>
      </w:hyperlink>
      <w:r w:rsidR="00675EBB">
        <w:rPr>
          <w:rFonts w:cstheme="minorHAnsi"/>
        </w:rPr>
        <w:t xml:space="preserve"> (</w:t>
      </w:r>
      <w:r w:rsidR="00675EBB" w:rsidRPr="00675EBB">
        <w:rPr>
          <w:rFonts w:cstheme="minorHAnsi"/>
        </w:rPr>
        <w:t>http://msdn.microsoft.com/en-us/library/hh921498</w:t>
      </w:r>
      <w:r w:rsidR="00675EBB">
        <w:rPr>
          <w:rFonts w:cstheme="minorHAnsi"/>
        </w:rPr>
        <w:t>)</w:t>
      </w:r>
      <w:r>
        <w:rPr>
          <w:rFonts w:cstheme="minorHAnsi"/>
        </w:rPr>
        <w:t xml:space="preserve"> of this paper will walk you step-by-step through the second approach: </w:t>
      </w:r>
      <w:r>
        <w:rPr>
          <w:rFonts w:cstheme="minorHAnsi"/>
        </w:rPr>
        <w:fldChar w:fldCharType="begin"/>
      </w:r>
      <w:r>
        <w:rPr>
          <w:rFonts w:cstheme="minorHAnsi"/>
        </w:rPr>
        <w:instrText xml:space="preserve"> REF _Ref316304144 \h </w:instrText>
      </w:r>
      <w:r>
        <w:rPr>
          <w:rFonts w:cstheme="minorHAnsi"/>
        </w:rPr>
      </w:r>
      <w:r>
        <w:rPr>
          <w:rFonts w:cstheme="minorHAnsi"/>
        </w:rPr>
        <w:fldChar w:fldCharType="separate"/>
      </w:r>
      <w:r>
        <w:t>Migration with Intermediate Hardware</w:t>
      </w:r>
      <w:r>
        <w:rPr>
          <w:rFonts w:cstheme="minorHAnsi"/>
        </w:rPr>
        <w:fldChar w:fldCharType="end"/>
      </w:r>
      <w:r>
        <w:rPr>
          <w:rFonts w:cstheme="minorHAnsi"/>
        </w:rPr>
        <w:t>.</w:t>
      </w:r>
    </w:p>
    <w:p w14:paraId="5729F39D" w14:textId="77777777" w:rsidR="001D0985" w:rsidRDefault="001D0985" w:rsidP="001D0985">
      <w:pPr>
        <w:rPr>
          <w:rFonts w:cstheme="minorHAnsi"/>
          <w:b/>
        </w:rPr>
      </w:pPr>
      <w:r>
        <w:rPr>
          <w:rFonts w:cstheme="minorHAnsi"/>
          <w:b/>
        </w:rPr>
        <w:t>For more information:</w:t>
      </w:r>
    </w:p>
    <w:p w14:paraId="7F73A6D2" w14:textId="77777777" w:rsidR="001D0985" w:rsidRDefault="007A2C7E" w:rsidP="001D0985">
      <w:pPr>
        <w:rPr>
          <w:rFonts w:cstheme="minorHAnsi"/>
        </w:rPr>
      </w:pPr>
      <w:hyperlink r:id="rId50" w:history="1">
        <w:r w:rsidR="001D0985">
          <w:rPr>
            <w:rStyle w:val="Hyperlink"/>
            <w:rFonts w:cstheme="minorHAnsi"/>
          </w:rPr>
          <w:t>http://www.microsoft.com/sqlserver/</w:t>
        </w:r>
      </w:hyperlink>
      <w:r w:rsidR="001D0985">
        <w:rPr>
          <w:rFonts w:cstheme="minorHAnsi"/>
        </w:rPr>
        <w:t>: SQL Server Web site</w:t>
      </w:r>
    </w:p>
    <w:p w14:paraId="12D3CFDC" w14:textId="77777777" w:rsidR="001D0985" w:rsidRDefault="007A2C7E" w:rsidP="001D0985">
      <w:pPr>
        <w:rPr>
          <w:rFonts w:cstheme="minorHAnsi"/>
        </w:rPr>
      </w:pPr>
      <w:hyperlink r:id="rId51" w:history="1">
        <w:r w:rsidR="001D0985">
          <w:rPr>
            <w:rStyle w:val="Hyperlink"/>
            <w:rFonts w:cstheme="minorHAnsi"/>
          </w:rPr>
          <w:t>http://technet.microsoft.com/en-us/sqlserver/</w:t>
        </w:r>
      </w:hyperlink>
      <w:r w:rsidR="001D0985">
        <w:rPr>
          <w:rFonts w:cstheme="minorHAnsi"/>
        </w:rPr>
        <w:t xml:space="preserve">: SQL Server </w:t>
      </w:r>
      <w:proofErr w:type="spellStart"/>
      <w:r w:rsidR="001D0985">
        <w:rPr>
          <w:rFonts w:cstheme="minorHAnsi"/>
        </w:rPr>
        <w:t>TechCenter</w:t>
      </w:r>
      <w:proofErr w:type="spellEnd"/>
      <w:r w:rsidR="001D0985">
        <w:rPr>
          <w:rFonts w:cstheme="minorHAnsi"/>
        </w:rPr>
        <w:t xml:space="preserve"> </w:t>
      </w:r>
    </w:p>
    <w:p w14:paraId="62D9F147" w14:textId="77777777" w:rsidR="001D0985" w:rsidRDefault="007A2C7E" w:rsidP="001D0985">
      <w:pPr>
        <w:rPr>
          <w:rFonts w:cstheme="minorHAnsi"/>
        </w:rPr>
      </w:pPr>
      <w:hyperlink r:id="rId52" w:history="1">
        <w:r w:rsidR="001D0985">
          <w:rPr>
            <w:rStyle w:val="Hyperlink"/>
            <w:rFonts w:cstheme="minorHAnsi"/>
          </w:rPr>
          <w:t>http://msdn.microsoft.com/en-us/sqlserver/</w:t>
        </w:r>
      </w:hyperlink>
      <w:r w:rsidR="001D0985">
        <w:rPr>
          <w:rFonts w:cstheme="minorHAnsi"/>
        </w:rPr>
        <w:t xml:space="preserve">: SQL Server </w:t>
      </w:r>
      <w:proofErr w:type="spellStart"/>
      <w:r w:rsidR="001D0985">
        <w:rPr>
          <w:rFonts w:cstheme="minorHAnsi"/>
        </w:rPr>
        <w:t>DevCenter</w:t>
      </w:r>
      <w:proofErr w:type="spellEnd"/>
      <w:r w:rsidR="001D0985">
        <w:rPr>
          <w:rFonts w:cstheme="minorHAnsi"/>
        </w:rPr>
        <w:t xml:space="preserve">  </w:t>
      </w:r>
    </w:p>
    <w:p w14:paraId="5E0A2023" w14:textId="77777777" w:rsidR="001D0985" w:rsidRDefault="001D0985" w:rsidP="001D0985">
      <w:pPr>
        <w:rPr>
          <w:rFonts w:cstheme="minorHAnsi"/>
        </w:rPr>
      </w:pPr>
    </w:p>
    <w:p w14:paraId="457FB568" w14:textId="77777777" w:rsidR="001D0985" w:rsidRDefault="001D0985" w:rsidP="001D0985">
      <w:pPr>
        <w:rPr>
          <w:rFonts w:cstheme="minorHAnsi"/>
        </w:rPr>
      </w:pPr>
      <w:r>
        <w:rPr>
          <w:rFonts w:cstheme="minorHAnsi"/>
        </w:rPr>
        <w:t>Did this paper help you? Please give us your feedback. Tell us on a scale of 1 (poor) to 5 (excellent), how would you rate this paper and why have you given it this rating? For example:</w:t>
      </w:r>
    </w:p>
    <w:p w14:paraId="4F5F36B0" w14:textId="77777777" w:rsidR="001D0985" w:rsidRDefault="001D0985" w:rsidP="001D0985">
      <w:pPr>
        <w:pStyle w:val="ListParagraph"/>
        <w:numPr>
          <w:ilvl w:val="0"/>
          <w:numId w:val="20"/>
        </w:numPr>
        <w:rPr>
          <w:rFonts w:cstheme="minorHAnsi"/>
        </w:rPr>
      </w:pPr>
      <w:r>
        <w:rPr>
          <w:rFonts w:cstheme="minorHAnsi"/>
        </w:rPr>
        <w:t xml:space="preserve">Are you rating it high due to having good examples, excellent screen shots, clear writing, or another reason? </w:t>
      </w:r>
    </w:p>
    <w:p w14:paraId="12C1EAF6" w14:textId="77777777" w:rsidR="001D0985" w:rsidRDefault="001D0985" w:rsidP="001D0985">
      <w:pPr>
        <w:pStyle w:val="ListParagraph"/>
        <w:numPr>
          <w:ilvl w:val="0"/>
          <w:numId w:val="20"/>
        </w:numPr>
        <w:rPr>
          <w:rFonts w:cstheme="minorHAnsi"/>
        </w:rPr>
      </w:pPr>
      <w:r>
        <w:rPr>
          <w:rFonts w:cstheme="minorHAnsi"/>
        </w:rPr>
        <w:t>Are you rating it low due to poor examples, fuzzy screen shots, or unclear writing?</w:t>
      </w:r>
    </w:p>
    <w:p w14:paraId="345F9DDC" w14:textId="77777777" w:rsidR="001D0985" w:rsidRDefault="001D0985" w:rsidP="001D0985">
      <w:pPr>
        <w:rPr>
          <w:rFonts w:cstheme="minorHAnsi"/>
        </w:rPr>
      </w:pPr>
      <w:r>
        <w:rPr>
          <w:rFonts w:cstheme="minorHAnsi"/>
        </w:rPr>
        <w:t xml:space="preserve">This feedback will help us improve the quality of white papers we release. </w:t>
      </w:r>
    </w:p>
    <w:p w14:paraId="5337C721" w14:textId="77777777" w:rsidR="001D0985" w:rsidRDefault="007A2C7E" w:rsidP="001D0985">
      <w:pPr>
        <w:rPr>
          <w:rFonts w:cstheme="minorHAnsi"/>
        </w:rPr>
      </w:pPr>
      <w:hyperlink r:id="rId53" w:history="1">
        <w:r w:rsidR="001D0985">
          <w:rPr>
            <w:rStyle w:val="Hyperlink"/>
            <w:rFonts w:cstheme="minorHAnsi"/>
          </w:rPr>
          <w:t>Send feedback</w:t>
        </w:r>
      </w:hyperlink>
      <w:r w:rsidR="001D0985">
        <w:rPr>
          <w:rFonts w:cstheme="minorHAnsi"/>
        </w:rPr>
        <w:t>.</w:t>
      </w:r>
    </w:p>
    <w:p w14:paraId="1DDF1E66" w14:textId="77777777" w:rsidR="001D0985" w:rsidRDefault="001D0985" w:rsidP="001D0985"/>
    <w:p w14:paraId="0CB47A02" w14:textId="3F656F58" w:rsidR="00C146B0" w:rsidRPr="001D0985" w:rsidRDefault="00C146B0" w:rsidP="001D0985"/>
    <w:sectPr w:rsidR="00C146B0" w:rsidRPr="001D0985" w:rsidSect="00E4398C">
      <w:footerReference w:type="default" r:id="rId54"/>
      <w:head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E43BA" w14:textId="77777777" w:rsidR="007A2C7E" w:rsidRDefault="007A2C7E" w:rsidP="00313894">
      <w:pPr>
        <w:spacing w:after="0" w:line="240" w:lineRule="auto"/>
      </w:pPr>
      <w:r>
        <w:separator/>
      </w:r>
    </w:p>
  </w:endnote>
  <w:endnote w:type="continuationSeparator" w:id="0">
    <w:p w14:paraId="753CFC73" w14:textId="77777777" w:rsidR="007A2C7E" w:rsidRDefault="007A2C7E" w:rsidP="00313894">
      <w:pPr>
        <w:spacing w:after="0" w:line="240" w:lineRule="auto"/>
      </w:pPr>
      <w:r>
        <w:continuationSeparator/>
      </w:r>
    </w:p>
  </w:endnote>
  <w:endnote w:type="continuationNotice" w:id="1">
    <w:p w14:paraId="04B06A0B" w14:textId="77777777" w:rsidR="007A2C7E" w:rsidRDefault="007A2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7F780441" w14:textId="77777777" w:rsidR="00771C84" w:rsidRDefault="00771C84">
        <w:pPr>
          <w:pStyle w:val="Footer"/>
        </w:pPr>
        <w:r>
          <w:fldChar w:fldCharType="begin"/>
        </w:r>
        <w:r>
          <w:instrText xml:space="preserve"> PAGE   \* MERGEFORMAT </w:instrText>
        </w:r>
        <w:r>
          <w:fldChar w:fldCharType="separate"/>
        </w:r>
        <w:r w:rsidR="00F60819">
          <w:rPr>
            <w:noProof/>
          </w:rPr>
          <w:t>14</w:t>
        </w:r>
        <w:r>
          <w:rPr>
            <w:noProof/>
          </w:rPr>
          <w:fldChar w:fldCharType="end"/>
        </w:r>
      </w:p>
    </w:sdtContent>
  </w:sdt>
  <w:p w14:paraId="3A482933" w14:textId="77777777" w:rsidR="00771C84" w:rsidRDefault="00771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59E2" w14:textId="77777777" w:rsidR="007A2C7E" w:rsidRDefault="007A2C7E" w:rsidP="00313894">
      <w:pPr>
        <w:spacing w:after="0" w:line="240" w:lineRule="auto"/>
      </w:pPr>
      <w:r>
        <w:separator/>
      </w:r>
    </w:p>
  </w:footnote>
  <w:footnote w:type="continuationSeparator" w:id="0">
    <w:p w14:paraId="008162F7" w14:textId="77777777" w:rsidR="007A2C7E" w:rsidRDefault="007A2C7E" w:rsidP="00313894">
      <w:pPr>
        <w:spacing w:after="0" w:line="240" w:lineRule="auto"/>
      </w:pPr>
      <w:r>
        <w:continuationSeparator/>
      </w:r>
    </w:p>
  </w:footnote>
  <w:footnote w:type="continuationNotice" w:id="1">
    <w:p w14:paraId="67E79CC9" w14:textId="77777777" w:rsidR="007A2C7E" w:rsidRDefault="007A2C7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658C" w14:textId="77777777" w:rsidR="00771C84" w:rsidRDefault="00771C84">
    <w:pPr>
      <w:pStyle w:val="Header"/>
    </w:pPr>
    <w:r>
      <w:tab/>
    </w:r>
    <w:r>
      <w:tab/>
    </w:r>
    <w:r>
      <w:rPr>
        <w:noProof/>
      </w:rPr>
      <w:drawing>
        <wp:inline distT="0" distB="0" distL="0" distR="0" wp14:anchorId="3DE58141" wp14:editId="289C63E6">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5A98"/>
    <w:multiLevelType w:val="hybridMultilevel"/>
    <w:tmpl w:val="6786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60AFE"/>
    <w:multiLevelType w:val="hybridMultilevel"/>
    <w:tmpl w:val="89DC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96F56"/>
    <w:multiLevelType w:val="hybridMultilevel"/>
    <w:tmpl w:val="0C0A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8803AF4"/>
    <w:multiLevelType w:val="hybridMultilevel"/>
    <w:tmpl w:val="AD3C6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36EE4"/>
    <w:multiLevelType w:val="hybridMultilevel"/>
    <w:tmpl w:val="16E4B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4A75AA"/>
    <w:multiLevelType w:val="hybridMultilevel"/>
    <w:tmpl w:val="16E4B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7A36E2"/>
    <w:multiLevelType w:val="hybridMultilevel"/>
    <w:tmpl w:val="9A868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237CAA"/>
    <w:multiLevelType w:val="hybridMultilevel"/>
    <w:tmpl w:val="B764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896BB9"/>
    <w:multiLevelType w:val="hybridMultilevel"/>
    <w:tmpl w:val="FBBA9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397E16"/>
    <w:multiLevelType w:val="hybridMultilevel"/>
    <w:tmpl w:val="AF5A8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4"/>
  </w:num>
  <w:num w:numId="5">
    <w:abstractNumId w:val="9"/>
  </w:num>
  <w:num w:numId="6">
    <w:abstractNumId w:val="2"/>
  </w:num>
  <w:num w:numId="7">
    <w:abstractNumId w:val="0"/>
  </w:num>
  <w:num w:numId="8">
    <w:abstractNumId w:val="5"/>
  </w:num>
  <w:num w:numId="9">
    <w:abstractNumId w:val="6"/>
  </w:num>
  <w:num w:numId="10">
    <w:abstractNumId w:val="8"/>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num>
  <w:num w:numId="16">
    <w:abstractNumId w:val="1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75B"/>
    <w:rsid w:val="0000366F"/>
    <w:rsid w:val="00006B05"/>
    <w:rsid w:val="0001047D"/>
    <w:rsid w:val="00013061"/>
    <w:rsid w:val="00016C16"/>
    <w:rsid w:val="000257A8"/>
    <w:rsid w:val="00025B5A"/>
    <w:rsid w:val="00032A5A"/>
    <w:rsid w:val="00033202"/>
    <w:rsid w:val="0003485C"/>
    <w:rsid w:val="00040249"/>
    <w:rsid w:val="00041404"/>
    <w:rsid w:val="000473DA"/>
    <w:rsid w:val="00047DAF"/>
    <w:rsid w:val="00050321"/>
    <w:rsid w:val="00053636"/>
    <w:rsid w:val="00057F74"/>
    <w:rsid w:val="00063A6C"/>
    <w:rsid w:val="00063B3C"/>
    <w:rsid w:val="00065C75"/>
    <w:rsid w:val="000667F8"/>
    <w:rsid w:val="00071D5E"/>
    <w:rsid w:val="00076352"/>
    <w:rsid w:val="0008499D"/>
    <w:rsid w:val="000866F0"/>
    <w:rsid w:val="00087DDA"/>
    <w:rsid w:val="0009053F"/>
    <w:rsid w:val="0009275B"/>
    <w:rsid w:val="00093AF4"/>
    <w:rsid w:val="000A030E"/>
    <w:rsid w:val="000A2D82"/>
    <w:rsid w:val="000B1E41"/>
    <w:rsid w:val="000C0B94"/>
    <w:rsid w:val="000C73B7"/>
    <w:rsid w:val="000D024E"/>
    <w:rsid w:val="000D115B"/>
    <w:rsid w:val="000D58AB"/>
    <w:rsid w:val="000D6FE1"/>
    <w:rsid w:val="000E72BA"/>
    <w:rsid w:val="000F30F6"/>
    <w:rsid w:val="000F7163"/>
    <w:rsid w:val="00102881"/>
    <w:rsid w:val="00110973"/>
    <w:rsid w:val="001179A0"/>
    <w:rsid w:val="001224E5"/>
    <w:rsid w:val="00122EE8"/>
    <w:rsid w:val="00125180"/>
    <w:rsid w:val="001338AA"/>
    <w:rsid w:val="0013518B"/>
    <w:rsid w:val="00137692"/>
    <w:rsid w:val="00141B39"/>
    <w:rsid w:val="0014669C"/>
    <w:rsid w:val="00152386"/>
    <w:rsid w:val="001525A5"/>
    <w:rsid w:val="001601D0"/>
    <w:rsid w:val="00172A7E"/>
    <w:rsid w:val="0017366E"/>
    <w:rsid w:val="001740C9"/>
    <w:rsid w:val="001914DB"/>
    <w:rsid w:val="00193618"/>
    <w:rsid w:val="001969E3"/>
    <w:rsid w:val="001A5162"/>
    <w:rsid w:val="001B33D6"/>
    <w:rsid w:val="001B7995"/>
    <w:rsid w:val="001C066F"/>
    <w:rsid w:val="001D0985"/>
    <w:rsid w:val="001E009E"/>
    <w:rsid w:val="001E2255"/>
    <w:rsid w:val="001E3F63"/>
    <w:rsid w:val="001F4862"/>
    <w:rsid w:val="001F5459"/>
    <w:rsid w:val="002118F2"/>
    <w:rsid w:val="00223821"/>
    <w:rsid w:val="00224CAE"/>
    <w:rsid w:val="00231246"/>
    <w:rsid w:val="00235C58"/>
    <w:rsid w:val="00235CEB"/>
    <w:rsid w:val="00237DB7"/>
    <w:rsid w:val="0024227B"/>
    <w:rsid w:val="00252FDA"/>
    <w:rsid w:val="00254F75"/>
    <w:rsid w:val="00261B3A"/>
    <w:rsid w:val="00281E93"/>
    <w:rsid w:val="00290155"/>
    <w:rsid w:val="00290549"/>
    <w:rsid w:val="00293063"/>
    <w:rsid w:val="00295266"/>
    <w:rsid w:val="002A150A"/>
    <w:rsid w:val="002A43B4"/>
    <w:rsid w:val="002A52F3"/>
    <w:rsid w:val="002A5592"/>
    <w:rsid w:val="002B0241"/>
    <w:rsid w:val="002B25AB"/>
    <w:rsid w:val="002B5D1B"/>
    <w:rsid w:val="002B6ABC"/>
    <w:rsid w:val="002C0B2D"/>
    <w:rsid w:val="002D781E"/>
    <w:rsid w:val="002E381A"/>
    <w:rsid w:val="002F00CA"/>
    <w:rsid w:val="002F7F64"/>
    <w:rsid w:val="00300CE8"/>
    <w:rsid w:val="0030326B"/>
    <w:rsid w:val="00304FC4"/>
    <w:rsid w:val="00305ED3"/>
    <w:rsid w:val="00311324"/>
    <w:rsid w:val="00313894"/>
    <w:rsid w:val="003156C0"/>
    <w:rsid w:val="00317A0A"/>
    <w:rsid w:val="00317F14"/>
    <w:rsid w:val="00320049"/>
    <w:rsid w:val="0032737F"/>
    <w:rsid w:val="00332483"/>
    <w:rsid w:val="003436C5"/>
    <w:rsid w:val="003477AB"/>
    <w:rsid w:val="00355860"/>
    <w:rsid w:val="003604E3"/>
    <w:rsid w:val="00362FC4"/>
    <w:rsid w:val="00363D8B"/>
    <w:rsid w:val="003663C7"/>
    <w:rsid w:val="00377CFF"/>
    <w:rsid w:val="0038536A"/>
    <w:rsid w:val="00387DE0"/>
    <w:rsid w:val="00390F2E"/>
    <w:rsid w:val="00397C1C"/>
    <w:rsid w:val="003B0A2A"/>
    <w:rsid w:val="003B2848"/>
    <w:rsid w:val="003B6564"/>
    <w:rsid w:val="003C3559"/>
    <w:rsid w:val="003D15AB"/>
    <w:rsid w:val="003D4E11"/>
    <w:rsid w:val="003E1013"/>
    <w:rsid w:val="003E336E"/>
    <w:rsid w:val="003E64D6"/>
    <w:rsid w:val="003F46EC"/>
    <w:rsid w:val="003F749B"/>
    <w:rsid w:val="003F7B4A"/>
    <w:rsid w:val="004000B0"/>
    <w:rsid w:val="0040163B"/>
    <w:rsid w:val="004029B6"/>
    <w:rsid w:val="00402D78"/>
    <w:rsid w:val="004034FC"/>
    <w:rsid w:val="00404CD8"/>
    <w:rsid w:val="00410C02"/>
    <w:rsid w:val="00413E82"/>
    <w:rsid w:val="004240A0"/>
    <w:rsid w:val="00426177"/>
    <w:rsid w:val="004365FA"/>
    <w:rsid w:val="00445D6C"/>
    <w:rsid w:val="00463BFF"/>
    <w:rsid w:val="004649FA"/>
    <w:rsid w:val="004650A6"/>
    <w:rsid w:val="00467008"/>
    <w:rsid w:val="00473C1C"/>
    <w:rsid w:val="0047423F"/>
    <w:rsid w:val="0048322F"/>
    <w:rsid w:val="004934FE"/>
    <w:rsid w:val="0049549A"/>
    <w:rsid w:val="004A3459"/>
    <w:rsid w:val="004A765A"/>
    <w:rsid w:val="004B1640"/>
    <w:rsid w:val="004B2DBC"/>
    <w:rsid w:val="004B43F6"/>
    <w:rsid w:val="004C0105"/>
    <w:rsid w:val="004C406A"/>
    <w:rsid w:val="004C47FA"/>
    <w:rsid w:val="004C7166"/>
    <w:rsid w:val="004D0990"/>
    <w:rsid w:val="004D3320"/>
    <w:rsid w:val="004D5433"/>
    <w:rsid w:val="004D5557"/>
    <w:rsid w:val="004D6BE1"/>
    <w:rsid w:val="004D7299"/>
    <w:rsid w:val="004E02AA"/>
    <w:rsid w:val="004E35A3"/>
    <w:rsid w:val="005044FC"/>
    <w:rsid w:val="00512B04"/>
    <w:rsid w:val="00517D7B"/>
    <w:rsid w:val="005204FA"/>
    <w:rsid w:val="00523961"/>
    <w:rsid w:val="00536552"/>
    <w:rsid w:val="00542EEC"/>
    <w:rsid w:val="00543A59"/>
    <w:rsid w:val="00547E5A"/>
    <w:rsid w:val="0055407D"/>
    <w:rsid w:val="005648C5"/>
    <w:rsid w:val="005658F2"/>
    <w:rsid w:val="00566541"/>
    <w:rsid w:val="005673DA"/>
    <w:rsid w:val="0057465B"/>
    <w:rsid w:val="00580023"/>
    <w:rsid w:val="00592368"/>
    <w:rsid w:val="005970BF"/>
    <w:rsid w:val="005A4E6D"/>
    <w:rsid w:val="005A60E7"/>
    <w:rsid w:val="005B1E7A"/>
    <w:rsid w:val="005C2934"/>
    <w:rsid w:val="005C64BD"/>
    <w:rsid w:val="005D0E59"/>
    <w:rsid w:val="005D12DF"/>
    <w:rsid w:val="005E0764"/>
    <w:rsid w:val="005E1917"/>
    <w:rsid w:val="005E665D"/>
    <w:rsid w:val="005E75B3"/>
    <w:rsid w:val="005F26C3"/>
    <w:rsid w:val="005F3E49"/>
    <w:rsid w:val="005F4848"/>
    <w:rsid w:val="005F7B62"/>
    <w:rsid w:val="00600D52"/>
    <w:rsid w:val="006024FD"/>
    <w:rsid w:val="00604366"/>
    <w:rsid w:val="00604AC4"/>
    <w:rsid w:val="006131CD"/>
    <w:rsid w:val="00623CF2"/>
    <w:rsid w:val="00625F30"/>
    <w:rsid w:val="0062609C"/>
    <w:rsid w:val="00632870"/>
    <w:rsid w:val="00633766"/>
    <w:rsid w:val="0063466D"/>
    <w:rsid w:val="006357DF"/>
    <w:rsid w:val="00640F65"/>
    <w:rsid w:val="00655885"/>
    <w:rsid w:val="00671377"/>
    <w:rsid w:val="00674032"/>
    <w:rsid w:val="00675EBB"/>
    <w:rsid w:val="006803FB"/>
    <w:rsid w:val="006865E7"/>
    <w:rsid w:val="00686C3A"/>
    <w:rsid w:val="0069108E"/>
    <w:rsid w:val="00694194"/>
    <w:rsid w:val="00697603"/>
    <w:rsid w:val="00697C7A"/>
    <w:rsid w:val="006A01D8"/>
    <w:rsid w:val="006A4E10"/>
    <w:rsid w:val="006B376B"/>
    <w:rsid w:val="006B57E2"/>
    <w:rsid w:val="006B6652"/>
    <w:rsid w:val="006C0DFA"/>
    <w:rsid w:val="006C21F2"/>
    <w:rsid w:val="006C49F4"/>
    <w:rsid w:val="006C634B"/>
    <w:rsid w:val="006C7611"/>
    <w:rsid w:val="006D7FF6"/>
    <w:rsid w:val="006E123E"/>
    <w:rsid w:val="006F6F44"/>
    <w:rsid w:val="007045C9"/>
    <w:rsid w:val="00707AC9"/>
    <w:rsid w:val="0071052C"/>
    <w:rsid w:val="00716B7E"/>
    <w:rsid w:val="00720455"/>
    <w:rsid w:val="00720E44"/>
    <w:rsid w:val="00723E8F"/>
    <w:rsid w:val="007301AB"/>
    <w:rsid w:val="00730A90"/>
    <w:rsid w:val="0073402B"/>
    <w:rsid w:val="00742A12"/>
    <w:rsid w:val="0074460F"/>
    <w:rsid w:val="0075099A"/>
    <w:rsid w:val="00751CFE"/>
    <w:rsid w:val="00755B92"/>
    <w:rsid w:val="00770707"/>
    <w:rsid w:val="00771C84"/>
    <w:rsid w:val="00780AB9"/>
    <w:rsid w:val="00784118"/>
    <w:rsid w:val="007877DC"/>
    <w:rsid w:val="00795262"/>
    <w:rsid w:val="00797860"/>
    <w:rsid w:val="007A2C7E"/>
    <w:rsid w:val="007A393B"/>
    <w:rsid w:val="007A561B"/>
    <w:rsid w:val="007A73D2"/>
    <w:rsid w:val="007B1739"/>
    <w:rsid w:val="007B20B9"/>
    <w:rsid w:val="007B4F55"/>
    <w:rsid w:val="007C4A09"/>
    <w:rsid w:val="007C724D"/>
    <w:rsid w:val="007D1C24"/>
    <w:rsid w:val="007D5D30"/>
    <w:rsid w:val="007D7C01"/>
    <w:rsid w:val="007D7C6E"/>
    <w:rsid w:val="007E2794"/>
    <w:rsid w:val="007E5F21"/>
    <w:rsid w:val="007E7C32"/>
    <w:rsid w:val="007F302F"/>
    <w:rsid w:val="007F68D0"/>
    <w:rsid w:val="0080525F"/>
    <w:rsid w:val="00806989"/>
    <w:rsid w:val="008142D1"/>
    <w:rsid w:val="008209F4"/>
    <w:rsid w:val="0083086D"/>
    <w:rsid w:val="00840A33"/>
    <w:rsid w:val="00841CA7"/>
    <w:rsid w:val="00842650"/>
    <w:rsid w:val="008464BA"/>
    <w:rsid w:val="00846A77"/>
    <w:rsid w:val="00846E5E"/>
    <w:rsid w:val="008607C9"/>
    <w:rsid w:val="00862626"/>
    <w:rsid w:val="00864F03"/>
    <w:rsid w:val="00870EDF"/>
    <w:rsid w:val="008873BD"/>
    <w:rsid w:val="00887659"/>
    <w:rsid w:val="008924FC"/>
    <w:rsid w:val="00893A90"/>
    <w:rsid w:val="00895A16"/>
    <w:rsid w:val="008A3C57"/>
    <w:rsid w:val="008B197B"/>
    <w:rsid w:val="008B1DAF"/>
    <w:rsid w:val="008B33A8"/>
    <w:rsid w:val="008B6723"/>
    <w:rsid w:val="008B7D6A"/>
    <w:rsid w:val="008C1933"/>
    <w:rsid w:val="008C1A92"/>
    <w:rsid w:val="008C4A8C"/>
    <w:rsid w:val="008D7C5A"/>
    <w:rsid w:val="008E7AB8"/>
    <w:rsid w:val="008E7B6F"/>
    <w:rsid w:val="008F2715"/>
    <w:rsid w:val="008F415B"/>
    <w:rsid w:val="008F4B81"/>
    <w:rsid w:val="008F72AB"/>
    <w:rsid w:val="0090144E"/>
    <w:rsid w:val="00901480"/>
    <w:rsid w:val="00902827"/>
    <w:rsid w:val="00903C9D"/>
    <w:rsid w:val="00905EB4"/>
    <w:rsid w:val="00906048"/>
    <w:rsid w:val="009204F0"/>
    <w:rsid w:val="00920D33"/>
    <w:rsid w:val="009318C0"/>
    <w:rsid w:val="00941C61"/>
    <w:rsid w:val="00945B65"/>
    <w:rsid w:val="0095321E"/>
    <w:rsid w:val="00961361"/>
    <w:rsid w:val="00963464"/>
    <w:rsid w:val="00983676"/>
    <w:rsid w:val="00991C94"/>
    <w:rsid w:val="00993BAF"/>
    <w:rsid w:val="0099446A"/>
    <w:rsid w:val="009956DD"/>
    <w:rsid w:val="009978C6"/>
    <w:rsid w:val="009A5598"/>
    <w:rsid w:val="009C2A25"/>
    <w:rsid w:val="009C76EC"/>
    <w:rsid w:val="009D0304"/>
    <w:rsid w:val="009D04B1"/>
    <w:rsid w:val="009D1816"/>
    <w:rsid w:val="009F219F"/>
    <w:rsid w:val="00A002D1"/>
    <w:rsid w:val="00A02336"/>
    <w:rsid w:val="00A048B6"/>
    <w:rsid w:val="00A10745"/>
    <w:rsid w:val="00A10B38"/>
    <w:rsid w:val="00A22239"/>
    <w:rsid w:val="00A23ADB"/>
    <w:rsid w:val="00A255E1"/>
    <w:rsid w:val="00A31058"/>
    <w:rsid w:val="00A3306C"/>
    <w:rsid w:val="00A340F1"/>
    <w:rsid w:val="00A43504"/>
    <w:rsid w:val="00A47623"/>
    <w:rsid w:val="00A478CA"/>
    <w:rsid w:val="00A5124D"/>
    <w:rsid w:val="00A52FC6"/>
    <w:rsid w:val="00A60DCD"/>
    <w:rsid w:val="00A6123F"/>
    <w:rsid w:val="00A64B19"/>
    <w:rsid w:val="00A65C77"/>
    <w:rsid w:val="00A67EB3"/>
    <w:rsid w:val="00A71A01"/>
    <w:rsid w:val="00A747F0"/>
    <w:rsid w:val="00AA3A33"/>
    <w:rsid w:val="00AA6D88"/>
    <w:rsid w:val="00AB4BC2"/>
    <w:rsid w:val="00AC12A6"/>
    <w:rsid w:val="00AC3676"/>
    <w:rsid w:val="00AC672B"/>
    <w:rsid w:val="00AC6C1C"/>
    <w:rsid w:val="00AC6C4E"/>
    <w:rsid w:val="00AC71D3"/>
    <w:rsid w:val="00AD67B4"/>
    <w:rsid w:val="00AD6B01"/>
    <w:rsid w:val="00AE3C83"/>
    <w:rsid w:val="00AE3E73"/>
    <w:rsid w:val="00AE5699"/>
    <w:rsid w:val="00AE65F2"/>
    <w:rsid w:val="00AE7ECD"/>
    <w:rsid w:val="00B00B6E"/>
    <w:rsid w:val="00B05292"/>
    <w:rsid w:val="00B12D7C"/>
    <w:rsid w:val="00B14283"/>
    <w:rsid w:val="00B15E31"/>
    <w:rsid w:val="00B2053B"/>
    <w:rsid w:val="00B267F9"/>
    <w:rsid w:val="00B3100E"/>
    <w:rsid w:val="00B34FE4"/>
    <w:rsid w:val="00B60EAD"/>
    <w:rsid w:val="00B67051"/>
    <w:rsid w:val="00B7029A"/>
    <w:rsid w:val="00B70442"/>
    <w:rsid w:val="00B75DF3"/>
    <w:rsid w:val="00B9199E"/>
    <w:rsid w:val="00B948A7"/>
    <w:rsid w:val="00BA45D8"/>
    <w:rsid w:val="00BB495A"/>
    <w:rsid w:val="00BC448D"/>
    <w:rsid w:val="00BC4807"/>
    <w:rsid w:val="00BC548D"/>
    <w:rsid w:val="00BC5841"/>
    <w:rsid w:val="00BD05D4"/>
    <w:rsid w:val="00BD2257"/>
    <w:rsid w:val="00BF4C8E"/>
    <w:rsid w:val="00BF52EB"/>
    <w:rsid w:val="00BF6D70"/>
    <w:rsid w:val="00C10B5E"/>
    <w:rsid w:val="00C1305F"/>
    <w:rsid w:val="00C146B0"/>
    <w:rsid w:val="00C14EBE"/>
    <w:rsid w:val="00C16FFB"/>
    <w:rsid w:val="00C17B66"/>
    <w:rsid w:val="00C24F0A"/>
    <w:rsid w:val="00C27A80"/>
    <w:rsid w:val="00C30E0C"/>
    <w:rsid w:val="00C31826"/>
    <w:rsid w:val="00C36FF8"/>
    <w:rsid w:val="00C37C9E"/>
    <w:rsid w:val="00C40699"/>
    <w:rsid w:val="00C4121F"/>
    <w:rsid w:val="00C42CCC"/>
    <w:rsid w:val="00C4431D"/>
    <w:rsid w:val="00C46EDD"/>
    <w:rsid w:val="00C53FD4"/>
    <w:rsid w:val="00C545AA"/>
    <w:rsid w:val="00C5641D"/>
    <w:rsid w:val="00C5755A"/>
    <w:rsid w:val="00C60181"/>
    <w:rsid w:val="00C65C94"/>
    <w:rsid w:val="00C65F99"/>
    <w:rsid w:val="00C8594D"/>
    <w:rsid w:val="00C923BF"/>
    <w:rsid w:val="00C976A2"/>
    <w:rsid w:val="00CA29C7"/>
    <w:rsid w:val="00CA3DD0"/>
    <w:rsid w:val="00CB01D1"/>
    <w:rsid w:val="00CC0FBB"/>
    <w:rsid w:val="00CC124D"/>
    <w:rsid w:val="00CC3458"/>
    <w:rsid w:val="00CE3A43"/>
    <w:rsid w:val="00CF1C27"/>
    <w:rsid w:val="00CF3028"/>
    <w:rsid w:val="00D07385"/>
    <w:rsid w:val="00D07E62"/>
    <w:rsid w:val="00D11724"/>
    <w:rsid w:val="00D220B3"/>
    <w:rsid w:val="00D2280D"/>
    <w:rsid w:val="00D23F1F"/>
    <w:rsid w:val="00D25FF8"/>
    <w:rsid w:val="00D30222"/>
    <w:rsid w:val="00D34ADD"/>
    <w:rsid w:val="00D40DA2"/>
    <w:rsid w:val="00D61590"/>
    <w:rsid w:val="00D63934"/>
    <w:rsid w:val="00D666BF"/>
    <w:rsid w:val="00D73276"/>
    <w:rsid w:val="00DA25B2"/>
    <w:rsid w:val="00DA5461"/>
    <w:rsid w:val="00DB2929"/>
    <w:rsid w:val="00DB7350"/>
    <w:rsid w:val="00DC124C"/>
    <w:rsid w:val="00DC1B1A"/>
    <w:rsid w:val="00DC49F2"/>
    <w:rsid w:val="00DC4B40"/>
    <w:rsid w:val="00DC5144"/>
    <w:rsid w:val="00DD0AC4"/>
    <w:rsid w:val="00DD5C31"/>
    <w:rsid w:val="00DE7001"/>
    <w:rsid w:val="00DF6AB0"/>
    <w:rsid w:val="00E01994"/>
    <w:rsid w:val="00E0503F"/>
    <w:rsid w:val="00E05729"/>
    <w:rsid w:val="00E076C6"/>
    <w:rsid w:val="00E119F1"/>
    <w:rsid w:val="00E133C7"/>
    <w:rsid w:val="00E142C8"/>
    <w:rsid w:val="00E158E1"/>
    <w:rsid w:val="00E200BA"/>
    <w:rsid w:val="00E22EC4"/>
    <w:rsid w:val="00E25C36"/>
    <w:rsid w:val="00E25D4F"/>
    <w:rsid w:val="00E305B6"/>
    <w:rsid w:val="00E41D8A"/>
    <w:rsid w:val="00E4398C"/>
    <w:rsid w:val="00E43B6E"/>
    <w:rsid w:val="00E4598E"/>
    <w:rsid w:val="00E46048"/>
    <w:rsid w:val="00E53871"/>
    <w:rsid w:val="00E5714C"/>
    <w:rsid w:val="00E57997"/>
    <w:rsid w:val="00E750BE"/>
    <w:rsid w:val="00E82D8A"/>
    <w:rsid w:val="00E84004"/>
    <w:rsid w:val="00E84364"/>
    <w:rsid w:val="00E87103"/>
    <w:rsid w:val="00E940C4"/>
    <w:rsid w:val="00E94B1C"/>
    <w:rsid w:val="00E967C5"/>
    <w:rsid w:val="00EA439F"/>
    <w:rsid w:val="00EA49F2"/>
    <w:rsid w:val="00EA5EE7"/>
    <w:rsid w:val="00EB3272"/>
    <w:rsid w:val="00EE087D"/>
    <w:rsid w:val="00EE28CC"/>
    <w:rsid w:val="00EE7CB7"/>
    <w:rsid w:val="00EF4A88"/>
    <w:rsid w:val="00EF6830"/>
    <w:rsid w:val="00F10837"/>
    <w:rsid w:val="00F12945"/>
    <w:rsid w:val="00F1437A"/>
    <w:rsid w:val="00F15B78"/>
    <w:rsid w:val="00F1775D"/>
    <w:rsid w:val="00F21907"/>
    <w:rsid w:val="00F2260E"/>
    <w:rsid w:val="00F2411F"/>
    <w:rsid w:val="00F30476"/>
    <w:rsid w:val="00F34F4E"/>
    <w:rsid w:val="00F42BC9"/>
    <w:rsid w:val="00F45983"/>
    <w:rsid w:val="00F477D7"/>
    <w:rsid w:val="00F506D9"/>
    <w:rsid w:val="00F50C02"/>
    <w:rsid w:val="00F60819"/>
    <w:rsid w:val="00F62D2F"/>
    <w:rsid w:val="00F7066F"/>
    <w:rsid w:val="00F772A3"/>
    <w:rsid w:val="00F8077E"/>
    <w:rsid w:val="00F81EC4"/>
    <w:rsid w:val="00F81EDB"/>
    <w:rsid w:val="00F852D6"/>
    <w:rsid w:val="00F86564"/>
    <w:rsid w:val="00F8693D"/>
    <w:rsid w:val="00FA1F90"/>
    <w:rsid w:val="00FA232C"/>
    <w:rsid w:val="00FB17D5"/>
    <w:rsid w:val="00FB18A9"/>
    <w:rsid w:val="00FB4D30"/>
    <w:rsid w:val="00FC4011"/>
    <w:rsid w:val="00FD6623"/>
    <w:rsid w:val="00FE4536"/>
    <w:rsid w:val="00FE5437"/>
    <w:rsid w:val="00FE7B75"/>
    <w:rsid w:val="00FF29BB"/>
    <w:rsid w:val="00FF5413"/>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A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07E62"/>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link w:val="ListParagraphChar"/>
    <w:uiPriority w:val="34"/>
    <w:qFormat/>
    <w:rsid w:val="00C10B5E"/>
    <w:pPr>
      <w:ind w:left="720"/>
      <w:contextualSpacing/>
    </w:pPr>
  </w:style>
  <w:style w:type="character" w:customStyle="1" w:styleId="ListParagraphChar">
    <w:name w:val="List Paragraph Char"/>
    <w:basedOn w:val="DefaultParagraphFont"/>
    <w:link w:val="ListParagraph"/>
    <w:uiPriority w:val="34"/>
    <w:rsid w:val="00694194"/>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paragraph" w:styleId="TOC3">
    <w:name w:val="toc 3"/>
    <w:basedOn w:val="Normal"/>
    <w:next w:val="Normal"/>
    <w:autoRedefine/>
    <w:uiPriority w:val="39"/>
    <w:unhideWhenUsed/>
    <w:rsid w:val="00033202"/>
    <w:pPr>
      <w:spacing w:after="100"/>
      <w:ind w:left="440"/>
    </w:pPr>
  </w:style>
  <w:style w:type="paragraph" w:styleId="HTMLPreformatted">
    <w:name w:val="HTML Preformatted"/>
    <w:basedOn w:val="Normal"/>
    <w:link w:val="HTMLPreformattedChar"/>
    <w:uiPriority w:val="99"/>
    <w:semiHidden/>
    <w:unhideWhenUsed/>
    <w:rsid w:val="00694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694194"/>
    <w:rPr>
      <w:rFonts w:ascii="Courier New" w:eastAsia="Times New Roman" w:hAnsi="Courier New" w:cs="Courier New"/>
      <w:sz w:val="20"/>
      <w:szCs w:val="20"/>
      <w:lang w:eastAsia="zh-CN"/>
    </w:rPr>
  </w:style>
  <w:style w:type="paragraph" w:customStyle="1" w:styleId="Scripts2">
    <w:name w:val="Scripts2"/>
    <w:basedOn w:val="ListParagraph"/>
    <w:link w:val="Scripts2Char"/>
    <w:qFormat/>
    <w:rsid w:val="00FA1F90"/>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textAlignment w:val="top"/>
    </w:pPr>
    <w:rPr>
      <w:rFonts w:ascii="Courier New" w:eastAsia="Times New Roman" w:hAnsi="Courier New" w:cs="Courier New"/>
      <w:color w:val="000000"/>
      <w:sz w:val="18"/>
      <w:szCs w:val="20"/>
      <w:lang w:eastAsia="zh-CN"/>
    </w:rPr>
  </w:style>
  <w:style w:type="character" w:customStyle="1" w:styleId="Scripts2Char">
    <w:name w:val="Scripts2 Char"/>
    <w:basedOn w:val="ListParagraphChar"/>
    <w:link w:val="Scripts2"/>
    <w:rsid w:val="00FA1F90"/>
    <w:rPr>
      <w:rFonts w:ascii="Courier New" w:eastAsia="Times New Roman" w:hAnsi="Courier New" w:cs="Courier New"/>
      <w:color w:val="000000"/>
      <w:sz w:val="18"/>
      <w:szCs w:val="20"/>
      <w:shd w:val="clear" w:color="auto" w:fill="DDDDDD"/>
      <w:lang w:eastAsia="zh-CN"/>
    </w:rPr>
  </w:style>
  <w:style w:type="paragraph" w:styleId="NormalWeb">
    <w:name w:val="Normal (Web)"/>
    <w:basedOn w:val="Normal"/>
    <w:uiPriority w:val="99"/>
    <w:semiHidden/>
    <w:unhideWhenUsed/>
    <w:rsid w:val="002D781E"/>
    <w:pPr>
      <w:spacing w:after="0" w:line="240" w:lineRule="auto"/>
    </w:pPr>
    <w:rPr>
      <w:rFonts w:ascii="Times New Roman" w:hAnsi="Times New Roman" w:cs="Times New Roman"/>
      <w:sz w:val="24"/>
      <w:szCs w:val="24"/>
      <w:lang w:eastAsia="zh-CN"/>
    </w:rPr>
  </w:style>
  <w:style w:type="paragraph" w:styleId="Caption">
    <w:name w:val="caption"/>
    <w:basedOn w:val="Normal"/>
    <w:next w:val="Normal"/>
    <w:uiPriority w:val="35"/>
    <w:unhideWhenUsed/>
    <w:qFormat/>
    <w:rsid w:val="007B4F55"/>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2E38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381A"/>
    <w:rPr>
      <w:sz w:val="20"/>
      <w:szCs w:val="20"/>
    </w:rPr>
  </w:style>
  <w:style w:type="character" w:styleId="EndnoteReference">
    <w:name w:val="endnote reference"/>
    <w:basedOn w:val="DefaultParagraphFont"/>
    <w:uiPriority w:val="99"/>
    <w:semiHidden/>
    <w:unhideWhenUsed/>
    <w:rsid w:val="002E381A"/>
    <w:rPr>
      <w:vertAlign w:val="superscript"/>
    </w:rPr>
  </w:style>
  <w:style w:type="paragraph" w:styleId="FootnoteText">
    <w:name w:val="footnote text"/>
    <w:basedOn w:val="Normal"/>
    <w:link w:val="FootnoteTextChar"/>
    <w:uiPriority w:val="99"/>
    <w:semiHidden/>
    <w:unhideWhenUsed/>
    <w:rsid w:val="002E38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381A"/>
    <w:rPr>
      <w:sz w:val="20"/>
      <w:szCs w:val="20"/>
    </w:rPr>
  </w:style>
  <w:style w:type="character" w:styleId="FootnoteReference">
    <w:name w:val="footnote reference"/>
    <w:basedOn w:val="DefaultParagraphFont"/>
    <w:uiPriority w:val="99"/>
    <w:semiHidden/>
    <w:unhideWhenUsed/>
    <w:rsid w:val="002E381A"/>
    <w:rPr>
      <w:vertAlign w:val="superscript"/>
    </w:rPr>
  </w:style>
  <w:style w:type="character" w:customStyle="1" w:styleId="HyperlinkforCross-References">
    <w:name w:val="Hyperlink for Cross-References"/>
    <w:basedOn w:val="Hyperlink"/>
    <w:uiPriority w:val="1"/>
    <w:qFormat/>
    <w:rsid w:val="001D09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07E62"/>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link w:val="ListParagraphChar"/>
    <w:uiPriority w:val="34"/>
    <w:qFormat/>
    <w:rsid w:val="00C10B5E"/>
    <w:pPr>
      <w:ind w:left="720"/>
      <w:contextualSpacing/>
    </w:pPr>
  </w:style>
  <w:style w:type="character" w:customStyle="1" w:styleId="ListParagraphChar">
    <w:name w:val="List Paragraph Char"/>
    <w:basedOn w:val="DefaultParagraphFont"/>
    <w:link w:val="ListParagraph"/>
    <w:uiPriority w:val="34"/>
    <w:rsid w:val="00694194"/>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paragraph" w:styleId="TOC3">
    <w:name w:val="toc 3"/>
    <w:basedOn w:val="Normal"/>
    <w:next w:val="Normal"/>
    <w:autoRedefine/>
    <w:uiPriority w:val="39"/>
    <w:unhideWhenUsed/>
    <w:rsid w:val="00033202"/>
    <w:pPr>
      <w:spacing w:after="100"/>
      <w:ind w:left="440"/>
    </w:pPr>
  </w:style>
  <w:style w:type="paragraph" w:styleId="HTMLPreformatted">
    <w:name w:val="HTML Preformatted"/>
    <w:basedOn w:val="Normal"/>
    <w:link w:val="HTMLPreformattedChar"/>
    <w:uiPriority w:val="99"/>
    <w:semiHidden/>
    <w:unhideWhenUsed/>
    <w:rsid w:val="00694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694194"/>
    <w:rPr>
      <w:rFonts w:ascii="Courier New" w:eastAsia="Times New Roman" w:hAnsi="Courier New" w:cs="Courier New"/>
      <w:sz w:val="20"/>
      <w:szCs w:val="20"/>
      <w:lang w:eastAsia="zh-CN"/>
    </w:rPr>
  </w:style>
  <w:style w:type="paragraph" w:customStyle="1" w:styleId="Scripts2">
    <w:name w:val="Scripts2"/>
    <w:basedOn w:val="ListParagraph"/>
    <w:link w:val="Scripts2Char"/>
    <w:qFormat/>
    <w:rsid w:val="00FA1F90"/>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textAlignment w:val="top"/>
    </w:pPr>
    <w:rPr>
      <w:rFonts w:ascii="Courier New" w:eastAsia="Times New Roman" w:hAnsi="Courier New" w:cs="Courier New"/>
      <w:color w:val="000000"/>
      <w:sz w:val="18"/>
      <w:szCs w:val="20"/>
      <w:lang w:eastAsia="zh-CN"/>
    </w:rPr>
  </w:style>
  <w:style w:type="character" w:customStyle="1" w:styleId="Scripts2Char">
    <w:name w:val="Scripts2 Char"/>
    <w:basedOn w:val="ListParagraphChar"/>
    <w:link w:val="Scripts2"/>
    <w:rsid w:val="00FA1F90"/>
    <w:rPr>
      <w:rFonts w:ascii="Courier New" w:eastAsia="Times New Roman" w:hAnsi="Courier New" w:cs="Courier New"/>
      <w:color w:val="000000"/>
      <w:sz w:val="18"/>
      <w:szCs w:val="20"/>
      <w:shd w:val="clear" w:color="auto" w:fill="DDDDDD"/>
      <w:lang w:eastAsia="zh-CN"/>
    </w:rPr>
  </w:style>
  <w:style w:type="paragraph" w:styleId="NormalWeb">
    <w:name w:val="Normal (Web)"/>
    <w:basedOn w:val="Normal"/>
    <w:uiPriority w:val="99"/>
    <w:semiHidden/>
    <w:unhideWhenUsed/>
    <w:rsid w:val="002D781E"/>
    <w:pPr>
      <w:spacing w:after="0" w:line="240" w:lineRule="auto"/>
    </w:pPr>
    <w:rPr>
      <w:rFonts w:ascii="Times New Roman" w:hAnsi="Times New Roman" w:cs="Times New Roman"/>
      <w:sz w:val="24"/>
      <w:szCs w:val="24"/>
      <w:lang w:eastAsia="zh-CN"/>
    </w:rPr>
  </w:style>
  <w:style w:type="paragraph" w:styleId="Caption">
    <w:name w:val="caption"/>
    <w:basedOn w:val="Normal"/>
    <w:next w:val="Normal"/>
    <w:uiPriority w:val="35"/>
    <w:unhideWhenUsed/>
    <w:qFormat/>
    <w:rsid w:val="007B4F55"/>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2E38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381A"/>
    <w:rPr>
      <w:sz w:val="20"/>
      <w:szCs w:val="20"/>
    </w:rPr>
  </w:style>
  <w:style w:type="character" w:styleId="EndnoteReference">
    <w:name w:val="endnote reference"/>
    <w:basedOn w:val="DefaultParagraphFont"/>
    <w:uiPriority w:val="99"/>
    <w:semiHidden/>
    <w:unhideWhenUsed/>
    <w:rsid w:val="002E381A"/>
    <w:rPr>
      <w:vertAlign w:val="superscript"/>
    </w:rPr>
  </w:style>
  <w:style w:type="paragraph" w:styleId="FootnoteText">
    <w:name w:val="footnote text"/>
    <w:basedOn w:val="Normal"/>
    <w:link w:val="FootnoteTextChar"/>
    <w:uiPriority w:val="99"/>
    <w:semiHidden/>
    <w:unhideWhenUsed/>
    <w:rsid w:val="002E38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381A"/>
    <w:rPr>
      <w:sz w:val="20"/>
      <w:szCs w:val="20"/>
    </w:rPr>
  </w:style>
  <w:style w:type="character" w:styleId="FootnoteReference">
    <w:name w:val="footnote reference"/>
    <w:basedOn w:val="DefaultParagraphFont"/>
    <w:uiPriority w:val="99"/>
    <w:semiHidden/>
    <w:unhideWhenUsed/>
    <w:rsid w:val="002E381A"/>
    <w:rPr>
      <w:vertAlign w:val="superscript"/>
    </w:rPr>
  </w:style>
  <w:style w:type="character" w:customStyle="1" w:styleId="HyperlinkforCross-References">
    <w:name w:val="Hyperlink for Cross-References"/>
    <w:basedOn w:val="Hyperlink"/>
    <w:uiPriority w:val="1"/>
    <w:qFormat/>
    <w:rsid w:val="001D0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8630">
      <w:bodyDiv w:val="1"/>
      <w:marLeft w:val="0"/>
      <w:marRight w:val="0"/>
      <w:marTop w:val="0"/>
      <w:marBottom w:val="0"/>
      <w:divBdr>
        <w:top w:val="none" w:sz="0" w:space="0" w:color="auto"/>
        <w:left w:val="none" w:sz="0" w:space="0" w:color="auto"/>
        <w:bottom w:val="none" w:sz="0" w:space="0" w:color="auto"/>
        <w:right w:val="none" w:sz="0" w:space="0" w:color="auto"/>
      </w:divBdr>
    </w:div>
    <w:div w:id="88626296">
      <w:bodyDiv w:val="1"/>
      <w:marLeft w:val="0"/>
      <w:marRight w:val="0"/>
      <w:marTop w:val="0"/>
      <w:marBottom w:val="0"/>
      <w:divBdr>
        <w:top w:val="none" w:sz="0" w:space="0" w:color="auto"/>
        <w:left w:val="none" w:sz="0" w:space="0" w:color="auto"/>
        <w:bottom w:val="none" w:sz="0" w:space="0" w:color="auto"/>
        <w:right w:val="none" w:sz="0" w:space="0" w:color="auto"/>
      </w:divBdr>
      <w:divsChild>
        <w:div w:id="238442462">
          <w:marLeft w:val="0"/>
          <w:marRight w:val="0"/>
          <w:marTop w:val="0"/>
          <w:marBottom w:val="0"/>
          <w:divBdr>
            <w:top w:val="none" w:sz="0" w:space="0" w:color="auto"/>
            <w:left w:val="none" w:sz="0" w:space="0" w:color="auto"/>
            <w:bottom w:val="none" w:sz="0" w:space="0" w:color="auto"/>
            <w:right w:val="none" w:sz="0" w:space="0" w:color="auto"/>
          </w:divBdr>
          <w:divsChild>
            <w:div w:id="703019372">
              <w:marLeft w:val="0"/>
              <w:marRight w:val="0"/>
              <w:marTop w:val="0"/>
              <w:marBottom w:val="0"/>
              <w:divBdr>
                <w:top w:val="none" w:sz="0" w:space="0" w:color="auto"/>
                <w:left w:val="none" w:sz="0" w:space="0" w:color="auto"/>
                <w:bottom w:val="none" w:sz="0" w:space="0" w:color="auto"/>
                <w:right w:val="none" w:sz="0" w:space="0" w:color="auto"/>
              </w:divBdr>
              <w:divsChild>
                <w:div w:id="355813782">
                  <w:marLeft w:val="0"/>
                  <w:marRight w:val="0"/>
                  <w:marTop w:val="0"/>
                  <w:marBottom w:val="0"/>
                  <w:divBdr>
                    <w:top w:val="none" w:sz="0" w:space="0" w:color="auto"/>
                    <w:left w:val="none" w:sz="0" w:space="0" w:color="auto"/>
                    <w:bottom w:val="none" w:sz="0" w:space="0" w:color="auto"/>
                    <w:right w:val="none" w:sz="0" w:space="0" w:color="auto"/>
                  </w:divBdr>
                  <w:divsChild>
                    <w:div w:id="460534962">
                      <w:marLeft w:val="0"/>
                      <w:marRight w:val="0"/>
                      <w:marTop w:val="0"/>
                      <w:marBottom w:val="0"/>
                      <w:divBdr>
                        <w:top w:val="none" w:sz="0" w:space="0" w:color="auto"/>
                        <w:left w:val="none" w:sz="0" w:space="0" w:color="auto"/>
                        <w:bottom w:val="none" w:sz="0" w:space="0" w:color="auto"/>
                        <w:right w:val="none" w:sz="0" w:space="0" w:color="auto"/>
                      </w:divBdr>
                      <w:divsChild>
                        <w:div w:id="930629170">
                          <w:marLeft w:val="0"/>
                          <w:marRight w:val="0"/>
                          <w:marTop w:val="0"/>
                          <w:marBottom w:val="0"/>
                          <w:divBdr>
                            <w:top w:val="none" w:sz="0" w:space="0" w:color="auto"/>
                            <w:left w:val="none" w:sz="0" w:space="0" w:color="auto"/>
                            <w:bottom w:val="none" w:sz="0" w:space="0" w:color="auto"/>
                            <w:right w:val="none" w:sz="0" w:space="0" w:color="auto"/>
                          </w:divBdr>
                          <w:divsChild>
                            <w:div w:id="1199469304">
                              <w:marLeft w:val="0"/>
                              <w:marRight w:val="0"/>
                              <w:marTop w:val="0"/>
                              <w:marBottom w:val="0"/>
                              <w:divBdr>
                                <w:top w:val="none" w:sz="0" w:space="0" w:color="auto"/>
                                <w:left w:val="none" w:sz="0" w:space="0" w:color="auto"/>
                                <w:bottom w:val="none" w:sz="0" w:space="0" w:color="auto"/>
                                <w:right w:val="none" w:sz="0" w:space="0" w:color="auto"/>
                              </w:divBdr>
                              <w:divsChild>
                                <w:div w:id="1426342838">
                                  <w:marLeft w:val="0"/>
                                  <w:marRight w:val="0"/>
                                  <w:marTop w:val="0"/>
                                  <w:marBottom w:val="0"/>
                                  <w:divBdr>
                                    <w:top w:val="none" w:sz="0" w:space="0" w:color="auto"/>
                                    <w:left w:val="none" w:sz="0" w:space="0" w:color="auto"/>
                                    <w:bottom w:val="none" w:sz="0" w:space="0" w:color="auto"/>
                                    <w:right w:val="none" w:sz="0" w:space="0" w:color="auto"/>
                                  </w:divBdr>
                                  <w:divsChild>
                                    <w:div w:id="533034068">
                                      <w:marLeft w:val="0"/>
                                      <w:marRight w:val="0"/>
                                      <w:marTop w:val="0"/>
                                      <w:marBottom w:val="0"/>
                                      <w:divBdr>
                                        <w:top w:val="none" w:sz="0" w:space="0" w:color="auto"/>
                                        <w:left w:val="none" w:sz="0" w:space="0" w:color="auto"/>
                                        <w:bottom w:val="none" w:sz="0" w:space="0" w:color="auto"/>
                                        <w:right w:val="none" w:sz="0" w:space="0" w:color="auto"/>
                                      </w:divBdr>
                                      <w:divsChild>
                                        <w:div w:id="1744722514">
                                          <w:marLeft w:val="0"/>
                                          <w:marRight w:val="0"/>
                                          <w:marTop w:val="0"/>
                                          <w:marBottom w:val="0"/>
                                          <w:divBdr>
                                            <w:top w:val="none" w:sz="0" w:space="0" w:color="auto"/>
                                            <w:left w:val="none" w:sz="0" w:space="0" w:color="auto"/>
                                            <w:bottom w:val="none" w:sz="0" w:space="0" w:color="auto"/>
                                            <w:right w:val="none" w:sz="0" w:space="0" w:color="auto"/>
                                          </w:divBdr>
                                          <w:divsChild>
                                            <w:div w:id="2011326174">
                                              <w:marLeft w:val="0"/>
                                              <w:marRight w:val="0"/>
                                              <w:marTop w:val="0"/>
                                              <w:marBottom w:val="0"/>
                                              <w:divBdr>
                                                <w:top w:val="none" w:sz="0" w:space="0" w:color="auto"/>
                                                <w:left w:val="none" w:sz="0" w:space="0" w:color="auto"/>
                                                <w:bottom w:val="none" w:sz="0" w:space="0" w:color="auto"/>
                                                <w:right w:val="none" w:sz="0" w:space="0" w:color="auto"/>
                                              </w:divBdr>
                                              <w:divsChild>
                                                <w:div w:id="593323325">
                                                  <w:marLeft w:val="0"/>
                                                  <w:marRight w:val="0"/>
                                                  <w:marTop w:val="0"/>
                                                  <w:marBottom w:val="0"/>
                                                  <w:divBdr>
                                                    <w:top w:val="none" w:sz="0" w:space="0" w:color="auto"/>
                                                    <w:left w:val="none" w:sz="0" w:space="0" w:color="auto"/>
                                                    <w:bottom w:val="none" w:sz="0" w:space="0" w:color="auto"/>
                                                    <w:right w:val="none" w:sz="0" w:space="0" w:color="auto"/>
                                                  </w:divBdr>
                                                  <w:divsChild>
                                                    <w:div w:id="7678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966167">
      <w:bodyDiv w:val="1"/>
      <w:marLeft w:val="0"/>
      <w:marRight w:val="0"/>
      <w:marTop w:val="0"/>
      <w:marBottom w:val="0"/>
      <w:divBdr>
        <w:top w:val="none" w:sz="0" w:space="0" w:color="auto"/>
        <w:left w:val="none" w:sz="0" w:space="0" w:color="auto"/>
        <w:bottom w:val="none" w:sz="0" w:space="0" w:color="auto"/>
        <w:right w:val="none" w:sz="0" w:space="0" w:color="auto"/>
      </w:divBdr>
      <w:divsChild>
        <w:div w:id="80879121">
          <w:marLeft w:val="0"/>
          <w:marRight w:val="0"/>
          <w:marTop w:val="0"/>
          <w:marBottom w:val="0"/>
          <w:divBdr>
            <w:top w:val="none" w:sz="0" w:space="8" w:color="auto"/>
            <w:left w:val="single" w:sz="6" w:space="0" w:color="BBBBBB"/>
            <w:bottom w:val="none" w:sz="0" w:space="0" w:color="auto"/>
            <w:right w:val="none" w:sz="0" w:space="0" w:color="auto"/>
          </w:divBdr>
          <w:divsChild>
            <w:div w:id="208423621">
              <w:marLeft w:val="0"/>
              <w:marRight w:val="0"/>
              <w:marTop w:val="0"/>
              <w:marBottom w:val="0"/>
              <w:divBdr>
                <w:top w:val="none" w:sz="0" w:space="0" w:color="auto"/>
                <w:left w:val="none" w:sz="0" w:space="0" w:color="auto"/>
                <w:bottom w:val="none" w:sz="0" w:space="0" w:color="auto"/>
                <w:right w:val="none" w:sz="0" w:space="0" w:color="auto"/>
              </w:divBdr>
              <w:divsChild>
                <w:div w:id="891815546">
                  <w:marLeft w:val="0"/>
                  <w:marRight w:val="0"/>
                  <w:marTop w:val="0"/>
                  <w:marBottom w:val="0"/>
                  <w:divBdr>
                    <w:top w:val="none" w:sz="0" w:space="0" w:color="auto"/>
                    <w:left w:val="none" w:sz="0" w:space="0" w:color="auto"/>
                    <w:bottom w:val="none" w:sz="0" w:space="0" w:color="auto"/>
                    <w:right w:val="none" w:sz="0" w:space="0" w:color="auto"/>
                  </w:divBdr>
                  <w:divsChild>
                    <w:div w:id="153691857">
                      <w:marLeft w:val="0"/>
                      <w:marRight w:val="0"/>
                      <w:marTop w:val="0"/>
                      <w:marBottom w:val="0"/>
                      <w:divBdr>
                        <w:top w:val="none" w:sz="0" w:space="0" w:color="auto"/>
                        <w:left w:val="none" w:sz="0" w:space="0" w:color="auto"/>
                        <w:bottom w:val="none" w:sz="0" w:space="0" w:color="auto"/>
                        <w:right w:val="none" w:sz="0" w:space="0" w:color="auto"/>
                      </w:divBdr>
                      <w:divsChild>
                        <w:div w:id="1437554230">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sChild>
                                <w:div w:id="283850035">
                                  <w:marLeft w:val="0"/>
                                  <w:marRight w:val="0"/>
                                  <w:marTop w:val="0"/>
                                  <w:marBottom w:val="0"/>
                                  <w:divBdr>
                                    <w:top w:val="none" w:sz="0" w:space="0" w:color="auto"/>
                                    <w:left w:val="none" w:sz="0" w:space="0" w:color="auto"/>
                                    <w:bottom w:val="none" w:sz="0" w:space="0" w:color="auto"/>
                                    <w:right w:val="none" w:sz="0" w:space="0" w:color="auto"/>
                                  </w:divBdr>
                                  <w:divsChild>
                                    <w:div w:id="1299340705">
                                      <w:marLeft w:val="0"/>
                                      <w:marRight w:val="0"/>
                                      <w:marTop w:val="0"/>
                                      <w:marBottom w:val="0"/>
                                      <w:divBdr>
                                        <w:top w:val="none" w:sz="0" w:space="0" w:color="auto"/>
                                        <w:left w:val="none" w:sz="0" w:space="0" w:color="auto"/>
                                        <w:bottom w:val="none" w:sz="0" w:space="0" w:color="auto"/>
                                        <w:right w:val="none" w:sz="0" w:space="0" w:color="auto"/>
                                      </w:divBdr>
                                      <w:divsChild>
                                        <w:div w:id="1533806161">
                                          <w:marLeft w:val="0"/>
                                          <w:marRight w:val="0"/>
                                          <w:marTop w:val="0"/>
                                          <w:marBottom w:val="0"/>
                                          <w:divBdr>
                                            <w:top w:val="none" w:sz="0" w:space="0" w:color="auto"/>
                                            <w:left w:val="none" w:sz="0" w:space="0" w:color="auto"/>
                                            <w:bottom w:val="none" w:sz="0" w:space="0" w:color="auto"/>
                                            <w:right w:val="none" w:sz="0" w:space="0" w:color="auto"/>
                                          </w:divBdr>
                                          <w:divsChild>
                                            <w:div w:id="1909076164">
                                              <w:marLeft w:val="0"/>
                                              <w:marRight w:val="0"/>
                                              <w:marTop w:val="0"/>
                                              <w:marBottom w:val="180"/>
                                              <w:divBdr>
                                                <w:top w:val="none" w:sz="0" w:space="0" w:color="auto"/>
                                                <w:left w:val="single" w:sz="6" w:space="0" w:color="BBBBBB"/>
                                                <w:bottom w:val="single" w:sz="18" w:space="0" w:color="E5E5E5"/>
                                                <w:right w:val="single" w:sz="6" w:space="0" w:color="E5E5E5"/>
                                              </w:divBdr>
                                              <w:divsChild>
                                                <w:div w:id="1495221466">
                                                  <w:marLeft w:val="0"/>
                                                  <w:marRight w:val="0"/>
                                                  <w:marTop w:val="0"/>
                                                  <w:marBottom w:val="0"/>
                                                  <w:divBdr>
                                                    <w:top w:val="none" w:sz="0" w:space="0" w:color="auto"/>
                                                    <w:left w:val="none" w:sz="0" w:space="0" w:color="auto"/>
                                                    <w:bottom w:val="none" w:sz="0" w:space="0" w:color="auto"/>
                                                    <w:right w:val="none" w:sz="0" w:space="0" w:color="auto"/>
                                                  </w:divBdr>
                                                  <w:divsChild>
                                                    <w:div w:id="1181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1974306">
      <w:bodyDiv w:val="1"/>
      <w:marLeft w:val="0"/>
      <w:marRight w:val="0"/>
      <w:marTop w:val="0"/>
      <w:marBottom w:val="0"/>
      <w:divBdr>
        <w:top w:val="none" w:sz="0" w:space="0" w:color="auto"/>
        <w:left w:val="none" w:sz="0" w:space="0" w:color="auto"/>
        <w:bottom w:val="none" w:sz="0" w:space="0" w:color="auto"/>
        <w:right w:val="none" w:sz="0" w:space="0" w:color="auto"/>
      </w:divBdr>
    </w:div>
    <w:div w:id="597563777">
      <w:bodyDiv w:val="1"/>
      <w:marLeft w:val="0"/>
      <w:marRight w:val="0"/>
      <w:marTop w:val="0"/>
      <w:marBottom w:val="0"/>
      <w:divBdr>
        <w:top w:val="none" w:sz="0" w:space="0" w:color="auto"/>
        <w:left w:val="none" w:sz="0" w:space="0" w:color="auto"/>
        <w:bottom w:val="none" w:sz="0" w:space="0" w:color="auto"/>
        <w:right w:val="none" w:sz="0" w:space="0" w:color="auto"/>
      </w:divBdr>
    </w:div>
    <w:div w:id="689918210">
      <w:bodyDiv w:val="1"/>
      <w:marLeft w:val="0"/>
      <w:marRight w:val="0"/>
      <w:marTop w:val="0"/>
      <w:marBottom w:val="0"/>
      <w:divBdr>
        <w:top w:val="none" w:sz="0" w:space="0" w:color="auto"/>
        <w:left w:val="none" w:sz="0" w:space="0" w:color="auto"/>
        <w:bottom w:val="none" w:sz="0" w:space="0" w:color="auto"/>
        <w:right w:val="none" w:sz="0" w:space="0" w:color="auto"/>
      </w:divBdr>
    </w:div>
    <w:div w:id="946697957">
      <w:bodyDiv w:val="1"/>
      <w:marLeft w:val="0"/>
      <w:marRight w:val="0"/>
      <w:marTop w:val="0"/>
      <w:marBottom w:val="0"/>
      <w:divBdr>
        <w:top w:val="none" w:sz="0" w:space="0" w:color="auto"/>
        <w:left w:val="none" w:sz="0" w:space="0" w:color="auto"/>
        <w:bottom w:val="none" w:sz="0" w:space="0" w:color="auto"/>
        <w:right w:val="none" w:sz="0" w:space="0" w:color="auto"/>
      </w:divBdr>
      <w:divsChild>
        <w:div w:id="1758090567">
          <w:marLeft w:val="0"/>
          <w:marRight w:val="0"/>
          <w:marTop w:val="0"/>
          <w:marBottom w:val="0"/>
          <w:divBdr>
            <w:top w:val="none" w:sz="0" w:space="0" w:color="auto"/>
            <w:left w:val="none" w:sz="0" w:space="0" w:color="auto"/>
            <w:bottom w:val="none" w:sz="0" w:space="0" w:color="auto"/>
            <w:right w:val="none" w:sz="0" w:space="0" w:color="auto"/>
          </w:divBdr>
          <w:divsChild>
            <w:div w:id="1923026210">
              <w:marLeft w:val="0"/>
              <w:marRight w:val="0"/>
              <w:marTop w:val="0"/>
              <w:marBottom w:val="0"/>
              <w:divBdr>
                <w:top w:val="none" w:sz="0" w:space="0" w:color="auto"/>
                <w:left w:val="none" w:sz="0" w:space="0" w:color="auto"/>
                <w:bottom w:val="none" w:sz="0" w:space="0" w:color="auto"/>
                <w:right w:val="none" w:sz="0" w:space="0" w:color="auto"/>
              </w:divBdr>
              <w:divsChild>
                <w:div w:id="1984583706">
                  <w:marLeft w:val="0"/>
                  <w:marRight w:val="0"/>
                  <w:marTop w:val="0"/>
                  <w:marBottom w:val="0"/>
                  <w:divBdr>
                    <w:top w:val="none" w:sz="0" w:space="0" w:color="auto"/>
                    <w:left w:val="none" w:sz="0" w:space="0" w:color="auto"/>
                    <w:bottom w:val="none" w:sz="0" w:space="0" w:color="auto"/>
                    <w:right w:val="none" w:sz="0" w:space="0" w:color="auto"/>
                  </w:divBdr>
                  <w:divsChild>
                    <w:div w:id="1577738293">
                      <w:marLeft w:val="0"/>
                      <w:marRight w:val="0"/>
                      <w:marTop w:val="0"/>
                      <w:marBottom w:val="0"/>
                      <w:divBdr>
                        <w:top w:val="none" w:sz="0" w:space="0" w:color="auto"/>
                        <w:left w:val="none" w:sz="0" w:space="0" w:color="auto"/>
                        <w:bottom w:val="none" w:sz="0" w:space="0" w:color="auto"/>
                        <w:right w:val="none" w:sz="0" w:space="0" w:color="auto"/>
                      </w:divBdr>
                      <w:divsChild>
                        <w:div w:id="1004894239">
                          <w:marLeft w:val="0"/>
                          <w:marRight w:val="0"/>
                          <w:marTop w:val="0"/>
                          <w:marBottom w:val="0"/>
                          <w:divBdr>
                            <w:top w:val="none" w:sz="0" w:space="0" w:color="auto"/>
                            <w:left w:val="none" w:sz="0" w:space="0" w:color="auto"/>
                            <w:bottom w:val="none" w:sz="0" w:space="0" w:color="auto"/>
                            <w:right w:val="none" w:sz="0" w:space="0" w:color="auto"/>
                          </w:divBdr>
                          <w:divsChild>
                            <w:div w:id="1488008811">
                              <w:marLeft w:val="0"/>
                              <w:marRight w:val="0"/>
                              <w:marTop w:val="0"/>
                              <w:marBottom w:val="0"/>
                              <w:divBdr>
                                <w:top w:val="none" w:sz="0" w:space="0" w:color="auto"/>
                                <w:left w:val="none" w:sz="0" w:space="0" w:color="auto"/>
                                <w:bottom w:val="none" w:sz="0" w:space="0" w:color="auto"/>
                                <w:right w:val="none" w:sz="0" w:space="0" w:color="auto"/>
                              </w:divBdr>
                              <w:divsChild>
                                <w:div w:id="481000492">
                                  <w:marLeft w:val="0"/>
                                  <w:marRight w:val="0"/>
                                  <w:marTop w:val="0"/>
                                  <w:marBottom w:val="0"/>
                                  <w:divBdr>
                                    <w:top w:val="none" w:sz="0" w:space="0" w:color="auto"/>
                                    <w:left w:val="none" w:sz="0" w:space="0" w:color="auto"/>
                                    <w:bottom w:val="none" w:sz="0" w:space="0" w:color="auto"/>
                                    <w:right w:val="none" w:sz="0" w:space="0" w:color="auto"/>
                                  </w:divBdr>
                                  <w:divsChild>
                                    <w:div w:id="957956064">
                                      <w:marLeft w:val="0"/>
                                      <w:marRight w:val="0"/>
                                      <w:marTop w:val="0"/>
                                      <w:marBottom w:val="0"/>
                                      <w:divBdr>
                                        <w:top w:val="none" w:sz="0" w:space="0" w:color="auto"/>
                                        <w:left w:val="none" w:sz="0" w:space="0" w:color="auto"/>
                                        <w:bottom w:val="none" w:sz="0" w:space="0" w:color="auto"/>
                                        <w:right w:val="none" w:sz="0" w:space="0" w:color="auto"/>
                                      </w:divBdr>
                                      <w:divsChild>
                                        <w:div w:id="801077531">
                                          <w:marLeft w:val="0"/>
                                          <w:marRight w:val="0"/>
                                          <w:marTop w:val="0"/>
                                          <w:marBottom w:val="0"/>
                                          <w:divBdr>
                                            <w:top w:val="none" w:sz="0" w:space="0" w:color="auto"/>
                                            <w:left w:val="none" w:sz="0" w:space="0" w:color="auto"/>
                                            <w:bottom w:val="none" w:sz="0" w:space="0" w:color="auto"/>
                                            <w:right w:val="none" w:sz="0" w:space="0" w:color="auto"/>
                                          </w:divBdr>
                                          <w:divsChild>
                                            <w:div w:id="2039622563">
                                              <w:marLeft w:val="0"/>
                                              <w:marRight w:val="0"/>
                                              <w:marTop w:val="0"/>
                                              <w:marBottom w:val="0"/>
                                              <w:divBdr>
                                                <w:top w:val="none" w:sz="0" w:space="0" w:color="auto"/>
                                                <w:left w:val="none" w:sz="0" w:space="0" w:color="auto"/>
                                                <w:bottom w:val="none" w:sz="0" w:space="0" w:color="auto"/>
                                                <w:right w:val="none" w:sz="0" w:space="0" w:color="auto"/>
                                              </w:divBdr>
                                              <w:divsChild>
                                                <w:div w:id="3113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08687">
      <w:bodyDiv w:val="1"/>
      <w:marLeft w:val="0"/>
      <w:marRight w:val="0"/>
      <w:marTop w:val="0"/>
      <w:marBottom w:val="0"/>
      <w:divBdr>
        <w:top w:val="none" w:sz="0" w:space="0" w:color="auto"/>
        <w:left w:val="none" w:sz="0" w:space="0" w:color="auto"/>
        <w:bottom w:val="none" w:sz="0" w:space="0" w:color="auto"/>
        <w:right w:val="none" w:sz="0" w:space="0" w:color="auto"/>
      </w:divBdr>
    </w:div>
    <w:div w:id="1060131385">
      <w:bodyDiv w:val="1"/>
      <w:marLeft w:val="0"/>
      <w:marRight w:val="0"/>
      <w:marTop w:val="0"/>
      <w:marBottom w:val="0"/>
      <w:divBdr>
        <w:top w:val="none" w:sz="0" w:space="0" w:color="auto"/>
        <w:left w:val="none" w:sz="0" w:space="0" w:color="auto"/>
        <w:bottom w:val="none" w:sz="0" w:space="0" w:color="auto"/>
        <w:right w:val="none" w:sz="0" w:space="0" w:color="auto"/>
      </w:divBdr>
      <w:divsChild>
        <w:div w:id="285165358">
          <w:marLeft w:val="0"/>
          <w:marRight w:val="0"/>
          <w:marTop w:val="0"/>
          <w:marBottom w:val="0"/>
          <w:divBdr>
            <w:top w:val="none" w:sz="0" w:space="0" w:color="auto"/>
            <w:left w:val="none" w:sz="0" w:space="0" w:color="auto"/>
            <w:bottom w:val="none" w:sz="0" w:space="0" w:color="auto"/>
            <w:right w:val="none" w:sz="0" w:space="0" w:color="auto"/>
          </w:divBdr>
          <w:divsChild>
            <w:div w:id="171189451">
              <w:marLeft w:val="0"/>
              <w:marRight w:val="0"/>
              <w:marTop w:val="0"/>
              <w:marBottom w:val="0"/>
              <w:divBdr>
                <w:top w:val="none" w:sz="0" w:space="0" w:color="auto"/>
                <w:left w:val="none" w:sz="0" w:space="0" w:color="auto"/>
                <w:bottom w:val="none" w:sz="0" w:space="0" w:color="auto"/>
                <w:right w:val="none" w:sz="0" w:space="0" w:color="auto"/>
              </w:divBdr>
              <w:divsChild>
                <w:div w:id="2043826489">
                  <w:marLeft w:val="0"/>
                  <w:marRight w:val="0"/>
                  <w:marTop w:val="0"/>
                  <w:marBottom w:val="0"/>
                  <w:divBdr>
                    <w:top w:val="none" w:sz="0" w:space="0" w:color="auto"/>
                    <w:left w:val="none" w:sz="0" w:space="0" w:color="auto"/>
                    <w:bottom w:val="none" w:sz="0" w:space="0" w:color="auto"/>
                    <w:right w:val="none" w:sz="0" w:space="0" w:color="auto"/>
                  </w:divBdr>
                  <w:divsChild>
                    <w:div w:id="2033990036">
                      <w:marLeft w:val="0"/>
                      <w:marRight w:val="0"/>
                      <w:marTop w:val="0"/>
                      <w:marBottom w:val="0"/>
                      <w:divBdr>
                        <w:top w:val="none" w:sz="0" w:space="0" w:color="auto"/>
                        <w:left w:val="none" w:sz="0" w:space="0" w:color="auto"/>
                        <w:bottom w:val="none" w:sz="0" w:space="0" w:color="auto"/>
                        <w:right w:val="none" w:sz="0" w:space="0" w:color="auto"/>
                      </w:divBdr>
                      <w:divsChild>
                        <w:div w:id="1827745381">
                          <w:marLeft w:val="0"/>
                          <w:marRight w:val="0"/>
                          <w:marTop w:val="0"/>
                          <w:marBottom w:val="0"/>
                          <w:divBdr>
                            <w:top w:val="none" w:sz="0" w:space="0" w:color="auto"/>
                            <w:left w:val="none" w:sz="0" w:space="0" w:color="auto"/>
                            <w:bottom w:val="none" w:sz="0" w:space="0" w:color="auto"/>
                            <w:right w:val="none" w:sz="0" w:space="0" w:color="auto"/>
                          </w:divBdr>
                          <w:divsChild>
                            <w:div w:id="197668333">
                              <w:marLeft w:val="0"/>
                              <w:marRight w:val="0"/>
                              <w:marTop w:val="0"/>
                              <w:marBottom w:val="0"/>
                              <w:divBdr>
                                <w:top w:val="none" w:sz="0" w:space="0" w:color="auto"/>
                                <w:left w:val="none" w:sz="0" w:space="0" w:color="auto"/>
                                <w:bottom w:val="none" w:sz="0" w:space="0" w:color="auto"/>
                                <w:right w:val="none" w:sz="0" w:space="0" w:color="auto"/>
                              </w:divBdr>
                              <w:divsChild>
                                <w:div w:id="1297683367">
                                  <w:marLeft w:val="0"/>
                                  <w:marRight w:val="0"/>
                                  <w:marTop w:val="0"/>
                                  <w:marBottom w:val="0"/>
                                  <w:divBdr>
                                    <w:top w:val="none" w:sz="0" w:space="0" w:color="auto"/>
                                    <w:left w:val="none" w:sz="0" w:space="0" w:color="auto"/>
                                    <w:bottom w:val="none" w:sz="0" w:space="0" w:color="auto"/>
                                    <w:right w:val="none" w:sz="0" w:space="0" w:color="auto"/>
                                  </w:divBdr>
                                  <w:divsChild>
                                    <w:div w:id="2041321789">
                                      <w:marLeft w:val="0"/>
                                      <w:marRight w:val="0"/>
                                      <w:marTop w:val="0"/>
                                      <w:marBottom w:val="0"/>
                                      <w:divBdr>
                                        <w:top w:val="none" w:sz="0" w:space="0" w:color="auto"/>
                                        <w:left w:val="none" w:sz="0" w:space="0" w:color="auto"/>
                                        <w:bottom w:val="none" w:sz="0" w:space="0" w:color="auto"/>
                                        <w:right w:val="none" w:sz="0" w:space="0" w:color="auto"/>
                                      </w:divBdr>
                                      <w:divsChild>
                                        <w:div w:id="539434386">
                                          <w:marLeft w:val="0"/>
                                          <w:marRight w:val="0"/>
                                          <w:marTop w:val="0"/>
                                          <w:marBottom w:val="0"/>
                                          <w:divBdr>
                                            <w:top w:val="none" w:sz="0" w:space="0" w:color="auto"/>
                                            <w:left w:val="none" w:sz="0" w:space="0" w:color="auto"/>
                                            <w:bottom w:val="none" w:sz="0" w:space="0" w:color="auto"/>
                                            <w:right w:val="none" w:sz="0" w:space="0" w:color="auto"/>
                                          </w:divBdr>
                                          <w:divsChild>
                                            <w:div w:id="1323974327">
                                              <w:marLeft w:val="0"/>
                                              <w:marRight w:val="0"/>
                                              <w:marTop w:val="0"/>
                                              <w:marBottom w:val="0"/>
                                              <w:divBdr>
                                                <w:top w:val="none" w:sz="0" w:space="0" w:color="auto"/>
                                                <w:left w:val="none" w:sz="0" w:space="0" w:color="auto"/>
                                                <w:bottom w:val="none" w:sz="0" w:space="0" w:color="auto"/>
                                                <w:right w:val="none" w:sz="0" w:space="0" w:color="auto"/>
                                              </w:divBdr>
                                              <w:divsChild>
                                                <w:div w:id="149373408">
                                                  <w:marLeft w:val="0"/>
                                                  <w:marRight w:val="0"/>
                                                  <w:marTop w:val="0"/>
                                                  <w:marBottom w:val="0"/>
                                                  <w:divBdr>
                                                    <w:top w:val="none" w:sz="0" w:space="0" w:color="auto"/>
                                                    <w:left w:val="none" w:sz="0" w:space="0" w:color="auto"/>
                                                    <w:bottom w:val="none" w:sz="0" w:space="0" w:color="auto"/>
                                                    <w:right w:val="none" w:sz="0" w:space="0" w:color="auto"/>
                                                  </w:divBdr>
                                                  <w:divsChild>
                                                    <w:div w:id="10828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628170">
      <w:bodyDiv w:val="1"/>
      <w:marLeft w:val="0"/>
      <w:marRight w:val="0"/>
      <w:marTop w:val="0"/>
      <w:marBottom w:val="0"/>
      <w:divBdr>
        <w:top w:val="none" w:sz="0" w:space="0" w:color="auto"/>
        <w:left w:val="none" w:sz="0" w:space="0" w:color="auto"/>
        <w:bottom w:val="none" w:sz="0" w:space="0" w:color="auto"/>
        <w:right w:val="none" w:sz="0" w:space="0" w:color="auto"/>
      </w:divBdr>
    </w:div>
    <w:div w:id="1468627055">
      <w:bodyDiv w:val="1"/>
      <w:marLeft w:val="0"/>
      <w:marRight w:val="0"/>
      <w:marTop w:val="0"/>
      <w:marBottom w:val="0"/>
      <w:divBdr>
        <w:top w:val="none" w:sz="0" w:space="0" w:color="auto"/>
        <w:left w:val="none" w:sz="0" w:space="0" w:color="auto"/>
        <w:bottom w:val="none" w:sz="0" w:space="0" w:color="auto"/>
        <w:right w:val="none" w:sz="0" w:space="0" w:color="auto"/>
      </w:divBdr>
      <w:divsChild>
        <w:div w:id="378404903">
          <w:marLeft w:val="0"/>
          <w:marRight w:val="0"/>
          <w:marTop w:val="0"/>
          <w:marBottom w:val="0"/>
          <w:divBdr>
            <w:top w:val="none" w:sz="0" w:space="8" w:color="auto"/>
            <w:left w:val="single" w:sz="6" w:space="0" w:color="BBBBBB"/>
            <w:bottom w:val="none" w:sz="0" w:space="0" w:color="auto"/>
            <w:right w:val="none" w:sz="0" w:space="0" w:color="auto"/>
          </w:divBdr>
          <w:divsChild>
            <w:div w:id="140974419">
              <w:marLeft w:val="0"/>
              <w:marRight w:val="0"/>
              <w:marTop w:val="0"/>
              <w:marBottom w:val="0"/>
              <w:divBdr>
                <w:top w:val="none" w:sz="0" w:space="0" w:color="auto"/>
                <w:left w:val="none" w:sz="0" w:space="0" w:color="auto"/>
                <w:bottom w:val="none" w:sz="0" w:space="0" w:color="auto"/>
                <w:right w:val="none" w:sz="0" w:space="0" w:color="auto"/>
              </w:divBdr>
              <w:divsChild>
                <w:div w:id="16743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136">
      <w:bodyDiv w:val="1"/>
      <w:marLeft w:val="0"/>
      <w:marRight w:val="0"/>
      <w:marTop w:val="0"/>
      <w:marBottom w:val="0"/>
      <w:divBdr>
        <w:top w:val="none" w:sz="0" w:space="0" w:color="auto"/>
        <w:left w:val="none" w:sz="0" w:space="0" w:color="auto"/>
        <w:bottom w:val="none" w:sz="0" w:space="0" w:color="auto"/>
        <w:right w:val="none" w:sz="0" w:space="0" w:color="auto"/>
      </w:divBdr>
      <w:divsChild>
        <w:div w:id="1745880894">
          <w:marLeft w:val="0"/>
          <w:marRight w:val="0"/>
          <w:marTop w:val="0"/>
          <w:marBottom w:val="0"/>
          <w:divBdr>
            <w:top w:val="none" w:sz="0" w:space="8" w:color="auto"/>
            <w:left w:val="single" w:sz="6" w:space="0" w:color="BBBBBB"/>
            <w:bottom w:val="none" w:sz="0" w:space="0" w:color="auto"/>
            <w:right w:val="none" w:sz="0" w:space="0" w:color="auto"/>
          </w:divBdr>
          <w:divsChild>
            <w:div w:id="2139490607">
              <w:marLeft w:val="0"/>
              <w:marRight w:val="0"/>
              <w:marTop w:val="0"/>
              <w:marBottom w:val="0"/>
              <w:divBdr>
                <w:top w:val="none" w:sz="0" w:space="0" w:color="auto"/>
                <w:left w:val="none" w:sz="0" w:space="0" w:color="auto"/>
                <w:bottom w:val="none" w:sz="0" w:space="0" w:color="auto"/>
                <w:right w:val="none" w:sz="0" w:space="0" w:color="auto"/>
              </w:divBdr>
              <w:divsChild>
                <w:div w:id="1313216263">
                  <w:marLeft w:val="0"/>
                  <w:marRight w:val="0"/>
                  <w:marTop w:val="0"/>
                  <w:marBottom w:val="0"/>
                  <w:divBdr>
                    <w:top w:val="none" w:sz="0" w:space="0" w:color="auto"/>
                    <w:left w:val="none" w:sz="0" w:space="0" w:color="auto"/>
                    <w:bottom w:val="none" w:sz="0" w:space="0" w:color="auto"/>
                    <w:right w:val="none" w:sz="0" w:space="0" w:color="auto"/>
                  </w:divBdr>
                  <w:divsChild>
                    <w:div w:id="504789913">
                      <w:marLeft w:val="0"/>
                      <w:marRight w:val="0"/>
                      <w:marTop w:val="0"/>
                      <w:marBottom w:val="0"/>
                      <w:divBdr>
                        <w:top w:val="none" w:sz="0" w:space="0" w:color="auto"/>
                        <w:left w:val="none" w:sz="0" w:space="0" w:color="auto"/>
                        <w:bottom w:val="none" w:sz="0" w:space="0" w:color="auto"/>
                        <w:right w:val="none" w:sz="0" w:space="0" w:color="auto"/>
                      </w:divBdr>
                      <w:divsChild>
                        <w:div w:id="400179012">
                          <w:marLeft w:val="0"/>
                          <w:marRight w:val="0"/>
                          <w:marTop w:val="0"/>
                          <w:marBottom w:val="0"/>
                          <w:divBdr>
                            <w:top w:val="none" w:sz="0" w:space="0" w:color="auto"/>
                            <w:left w:val="none" w:sz="0" w:space="0" w:color="auto"/>
                            <w:bottom w:val="none" w:sz="0" w:space="0" w:color="auto"/>
                            <w:right w:val="none" w:sz="0" w:space="0" w:color="auto"/>
                          </w:divBdr>
                          <w:divsChild>
                            <w:div w:id="1932154960">
                              <w:marLeft w:val="0"/>
                              <w:marRight w:val="0"/>
                              <w:marTop w:val="0"/>
                              <w:marBottom w:val="0"/>
                              <w:divBdr>
                                <w:top w:val="none" w:sz="0" w:space="0" w:color="auto"/>
                                <w:left w:val="none" w:sz="0" w:space="0" w:color="auto"/>
                                <w:bottom w:val="none" w:sz="0" w:space="0" w:color="auto"/>
                                <w:right w:val="none" w:sz="0" w:space="0" w:color="auto"/>
                              </w:divBdr>
                              <w:divsChild>
                                <w:div w:id="771165625">
                                  <w:marLeft w:val="0"/>
                                  <w:marRight w:val="0"/>
                                  <w:marTop w:val="0"/>
                                  <w:marBottom w:val="0"/>
                                  <w:divBdr>
                                    <w:top w:val="none" w:sz="0" w:space="0" w:color="auto"/>
                                    <w:left w:val="none" w:sz="0" w:space="0" w:color="auto"/>
                                    <w:bottom w:val="none" w:sz="0" w:space="0" w:color="auto"/>
                                    <w:right w:val="none" w:sz="0" w:space="0" w:color="auto"/>
                                  </w:divBdr>
                                  <w:divsChild>
                                    <w:div w:id="1732149061">
                                      <w:marLeft w:val="0"/>
                                      <w:marRight w:val="0"/>
                                      <w:marTop w:val="0"/>
                                      <w:marBottom w:val="0"/>
                                      <w:divBdr>
                                        <w:top w:val="none" w:sz="0" w:space="0" w:color="auto"/>
                                        <w:left w:val="none" w:sz="0" w:space="0" w:color="auto"/>
                                        <w:bottom w:val="none" w:sz="0" w:space="0" w:color="auto"/>
                                        <w:right w:val="none" w:sz="0" w:space="0" w:color="auto"/>
                                      </w:divBdr>
                                      <w:divsChild>
                                        <w:div w:id="2079395774">
                                          <w:marLeft w:val="0"/>
                                          <w:marRight w:val="0"/>
                                          <w:marTop w:val="0"/>
                                          <w:marBottom w:val="0"/>
                                          <w:divBdr>
                                            <w:top w:val="none" w:sz="0" w:space="0" w:color="auto"/>
                                            <w:left w:val="none" w:sz="0" w:space="0" w:color="auto"/>
                                            <w:bottom w:val="none" w:sz="0" w:space="0" w:color="auto"/>
                                            <w:right w:val="none" w:sz="0" w:space="0" w:color="auto"/>
                                          </w:divBdr>
                                          <w:divsChild>
                                            <w:div w:id="1237936305">
                                              <w:marLeft w:val="0"/>
                                              <w:marRight w:val="0"/>
                                              <w:marTop w:val="0"/>
                                              <w:marBottom w:val="180"/>
                                              <w:divBdr>
                                                <w:top w:val="none" w:sz="0" w:space="0" w:color="auto"/>
                                                <w:left w:val="single" w:sz="6" w:space="0" w:color="BBBBBB"/>
                                                <w:bottom w:val="single" w:sz="18" w:space="0" w:color="E5E5E5"/>
                                                <w:right w:val="single" w:sz="6" w:space="0" w:color="E5E5E5"/>
                                              </w:divBdr>
                                              <w:divsChild>
                                                <w:div w:id="419910540">
                                                  <w:marLeft w:val="0"/>
                                                  <w:marRight w:val="0"/>
                                                  <w:marTop w:val="0"/>
                                                  <w:marBottom w:val="0"/>
                                                  <w:divBdr>
                                                    <w:top w:val="none" w:sz="0" w:space="0" w:color="auto"/>
                                                    <w:left w:val="none" w:sz="0" w:space="0" w:color="auto"/>
                                                    <w:bottom w:val="none" w:sz="0" w:space="0" w:color="auto"/>
                                                    <w:right w:val="none" w:sz="0" w:space="0" w:color="auto"/>
                                                  </w:divBdr>
                                                  <w:divsChild>
                                                    <w:div w:id="858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082536">
      <w:bodyDiv w:val="1"/>
      <w:marLeft w:val="0"/>
      <w:marRight w:val="0"/>
      <w:marTop w:val="0"/>
      <w:marBottom w:val="0"/>
      <w:divBdr>
        <w:top w:val="none" w:sz="0" w:space="0" w:color="auto"/>
        <w:left w:val="none" w:sz="0" w:space="0" w:color="auto"/>
        <w:bottom w:val="none" w:sz="0" w:space="0" w:color="auto"/>
        <w:right w:val="none" w:sz="0" w:space="0" w:color="auto"/>
      </w:divBdr>
    </w:div>
    <w:div w:id="1877503998">
      <w:bodyDiv w:val="1"/>
      <w:marLeft w:val="0"/>
      <w:marRight w:val="0"/>
      <w:marTop w:val="0"/>
      <w:marBottom w:val="0"/>
      <w:divBdr>
        <w:top w:val="none" w:sz="0" w:space="0" w:color="auto"/>
        <w:left w:val="none" w:sz="0" w:space="0" w:color="auto"/>
        <w:bottom w:val="none" w:sz="0" w:space="0" w:color="auto"/>
        <w:right w:val="none" w:sz="0" w:space="0" w:color="auto"/>
      </w:divBdr>
      <w:divsChild>
        <w:div w:id="448550184">
          <w:marLeft w:val="0"/>
          <w:marRight w:val="0"/>
          <w:marTop w:val="0"/>
          <w:marBottom w:val="0"/>
          <w:divBdr>
            <w:top w:val="none" w:sz="0" w:space="8" w:color="auto"/>
            <w:left w:val="single" w:sz="6" w:space="0" w:color="BBBBBB"/>
            <w:bottom w:val="none" w:sz="0" w:space="0" w:color="auto"/>
            <w:right w:val="none" w:sz="0" w:space="0" w:color="auto"/>
          </w:divBdr>
          <w:divsChild>
            <w:div w:id="1098403649">
              <w:marLeft w:val="0"/>
              <w:marRight w:val="0"/>
              <w:marTop w:val="0"/>
              <w:marBottom w:val="0"/>
              <w:divBdr>
                <w:top w:val="none" w:sz="0" w:space="0" w:color="auto"/>
                <w:left w:val="none" w:sz="0" w:space="0" w:color="auto"/>
                <w:bottom w:val="none" w:sz="0" w:space="0" w:color="auto"/>
                <w:right w:val="none" w:sz="0" w:space="0" w:color="auto"/>
              </w:divBdr>
              <w:divsChild>
                <w:div w:id="2068990849">
                  <w:marLeft w:val="0"/>
                  <w:marRight w:val="0"/>
                  <w:marTop w:val="0"/>
                  <w:marBottom w:val="0"/>
                  <w:divBdr>
                    <w:top w:val="none" w:sz="0" w:space="0" w:color="auto"/>
                    <w:left w:val="none" w:sz="0" w:space="0" w:color="auto"/>
                    <w:bottom w:val="none" w:sz="0" w:space="0" w:color="auto"/>
                    <w:right w:val="none" w:sz="0" w:space="0" w:color="auto"/>
                  </w:divBdr>
                  <w:divsChild>
                    <w:div w:id="2029062218">
                      <w:marLeft w:val="0"/>
                      <w:marRight w:val="0"/>
                      <w:marTop w:val="0"/>
                      <w:marBottom w:val="0"/>
                      <w:divBdr>
                        <w:top w:val="none" w:sz="0" w:space="0" w:color="auto"/>
                        <w:left w:val="none" w:sz="0" w:space="0" w:color="auto"/>
                        <w:bottom w:val="none" w:sz="0" w:space="0" w:color="auto"/>
                        <w:right w:val="none" w:sz="0" w:space="0" w:color="auto"/>
                      </w:divBdr>
                      <w:divsChild>
                        <w:div w:id="1700356249">
                          <w:marLeft w:val="0"/>
                          <w:marRight w:val="0"/>
                          <w:marTop w:val="0"/>
                          <w:marBottom w:val="0"/>
                          <w:divBdr>
                            <w:top w:val="none" w:sz="0" w:space="0" w:color="auto"/>
                            <w:left w:val="none" w:sz="0" w:space="0" w:color="auto"/>
                            <w:bottom w:val="none" w:sz="0" w:space="0" w:color="auto"/>
                            <w:right w:val="none" w:sz="0" w:space="0" w:color="auto"/>
                          </w:divBdr>
                          <w:divsChild>
                            <w:div w:id="1713075684">
                              <w:marLeft w:val="0"/>
                              <w:marRight w:val="0"/>
                              <w:marTop w:val="0"/>
                              <w:marBottom w:val="0"/>
                              <w:divBdr>
                                <w:top w:val="none" w:sz="0" w:space="0" w:color="auto"/>
                                <w:left w:val="none" w:sz="0" w:space="0" w:color="auto"/>
                                <w:bottom w:val="none" w:sz="0" w:space="0" w:color="auto"/>
                                <w:right w:val="none" w:sz="0" w:space="0" w:color="auto"/>
                              </w:divBdr>
                              <w:divsChild>
                                <w:div w:id="275715663">
                                  <w:marLeft w:val="0"/>
                                  <w:marRight w:val="0"/>
                                  <w:marTop w:val="0"/>
                                  <w:marBottom w:val="0"/>
                                  <w:divBdr>
                                    <w:top w:val="none" w:sz="0" w:space="0" w:color="auto"/>
                                    <w:left w:val="none" w:sz="0" w:space="0" w:color="auto"/>
                                    <w:bottom w:val="none" w:sz="0" w:space="0" w:color="auto"/>
                                    <w:right w:val="none" w:sz="0" w:space="0" w:color="auto"/>
                                  </w:divBdr>
                                  <w:divsChild>
                                    <w:div w:id="648754190">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sChild>
                                            <w:div w:id="1393498811">
                                              <w:marLeft w:val="0"/>
                                              <w:marRight w:val="0"/>
                                              <w:marTop w:val="0"/>
                                              <w:marBottom w:val="180"/>
                                              <w:divBdr>
                                                <w:top w:val="none" w:sz="0" w:space="0" w:color="auto"/>
                                                <w:left w:val="single" w:sz="6" w:space="0" w:color="BBBBBB"/>
                                                <w:bottom w:val="single" w:sz="18" w:space="0" w:color="E5E5E5"/>
                                                <w:right w:val="single" w:sz="6" w:space="0" w:color="E5E5E5"/>
                                              </w:divBdr>
                                              <w:divsChild>
                                                <w:div w:id="874806903">
                                                  <w:marLeft w:val="0"/>
                                                  <w:marRight w:val="0"/>
                                                  <w:marTop w:val="0"/>
                                                  <w:marBottom w:val="0"/>
                                                  <w:divBdr>
                                                    <w:top w:val="none" w:sz="0" w:space="0" w:color="auto"/>
                                                    <w:left w:val="none" w:sz="0" w:space="0" w:color="auto"/>
                                                    <w:bottom w:val="none" w:sz="0" w:space="0" w:color="auto"/>
                                                    <w:right w:val="none" w:sz="0" w:space="0" w:color="auto"/>
                                                  </w:divBdr>
                                                  <w:divsChild>
                                                    <w:div w:id="10947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dn.microsoft.com/en-us/library/hh781257.aspx" TargetMode="External"/><Relationship Id="rId18" Type="http://schemas.openxmlformats.org/officeDocument/2006/relationships/image" Target="media/image4.emf"/><Relationship Id="rId26" Type="http://schemas.openxmlformats.org/officeDocument/2006/relationships/oleObject" Target="embeddings/oleObject6.bin"/><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hyperlink" Target="http://msdn.microsoft.com/en-us/library/hh781257.aspx" TargetMode="External"/><Relationship Id="rId47" Type="http://schemas.openxmlformats.org/officeDocument/2006/relationships/hyperlink" Target="http://msdn.microsoft.com/en-us/library/hh213417(v=sql.110).aspx" TargetMode="External"/><Relationship Id="rId50" Type="http://schemas.openxmlformats.org/officeDocument/2006/relationships/hyperlink" Target="http://www.microsoft.com/sqlserver/" TargetMode="External"/><Relationship Id="rId55"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hyperlink" Target="http://msdn.microsoft.com/en-us/library/ff878601(v=SQL.110).aspx"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41" Type="http://schemas.openxmlformats.org/officeDocument/2006/relationships/oleObject" Target="embeddings/oleObject12.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hyperlink" Target="http://msdn.microsoft.com/en-us/library/hh781257.aspx" TargetMode="External"/><Relationship Id="rId37" Type="http://schemas.openxmlformats.org/officeDocument/2006/relationships/hyperlink" Target="http://msdn.microsoft.com/en-us/library/hh781257.aspx" TargetMode="External"/><Relationship Id="rId40" Type="http://schemas.openxmlformats.org/officeDocument/2006/relationships/image" Target="media/image13.emf"/><Relationship Id="rId45" Type="http://schemas.openxmlformats.org/officeDocument/2006/relationships/hyperlink" Target="http://msdn.microsoft.com/en-us/library/hh270275(v=SQL.110).aspx" TargetMode="External"/><Relationship Id="rId53" Type="http://schemas.openxmlformats.org/officeDocument/2006/relationships/hyperlink" Target="mailto:sqlfback@microsoft.com?subject=White%20Paper%20Feedback:%20Migration%20Guide:%20Migrating%20to%20SQL%20Server%202012%20Failover%20Clustering%20and%20Availability%20Groups%20from%20Prior%20Clustering%20and%20Mirroring%20Deployments%20(Part%20I)"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oleObject" Target="embeddings/oleObject10.bin"/><Relationship Id="rId49" Type="http://schemas.openxmlformats.org/officeDocument/2006/relationships/hyperlink" Target="http://msdn.microsoft.com/en-us/library/hh921498"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hyperlink" Target="http://msdn.microsoft.com/en-us/library/hh403411(SQL.110).aspx" TargetMode="External"/><Relationship Id="rId52" Type="http://schemas.openxmlformats.org/officeDocument/2006/relationships/hyperlink" Target="http://msdn.microsoft.com/en-us/sqlserv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msdn.microsoft.com/en-us/library/hh781257.aspx" TargetMode="External"/><Relationship Id="rId27" Type="http://schemas.openxmlformats.org/officeDocument/2006/relationships/hyperlink" Target="http://msdn.microsoft.com/en-us/library/hh921498" TargetMode="External"/><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hyperlink" Target="http://msdn.microsoft.com/en-us/library/hh781257.aspx" TargetMode="External"/><Relationship Id="rId48" Type="http://schemas.openxmlformats.org/officeDocument/2006/relationships/hyperlink" Target="http://msdn.microsoft.com/en-us/library/hh781257.aspx"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technet.microsoft.com/en-us/sqlserver/"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phalin\Desktop\Migr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URL xmlns="e088bdf7-e3e8-4871-901b-790e98bd1fd6">
      <Url xsi:nil="true"/>
      <Description xsi:nil="true"/>
    </URL>
    <Date_x0020_Uploaded xmlns="e088bdf7-e3e8-4871-901b-790e98bd1fd6"/>
    <Status xmlns="e088bdf7-e3e8-4871-901b-790e98bd1fd6"/>
    <Author0 xmlns="e088bdf7-e3e8-4871-901b-790e98bd1f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8C66A23E6BEB4BBC5A3055A52CD324" ma:contentTypeVersion="8" ma:contentTypeDescription="Create a new document." ma:contentTypeScope="" ma:versionID="1ef59f797355e19d4f98accd49be452d">
  <xsd:schema xmlns:xsd="http://www.w3.org/2001/XMLSchema" xmlns:p="http://schemas.microsoft.com/office/2006/metadata/properties" xmlns:ns2="e088bdf7-e3e8-4871-901b-790e98bd1fd6" targetNamespace="http://schemas.microsoft.com/office/2006/metadata/properties" ma:root="true" ma:fieldsID="1349859f167eaefe630a483175ef5aa6" ns2:_="">
    <xsd:import namespace="e088bdf7-e3e8-4871-901b-790e98bd1fd6"/>
    <xsd:element name="properties">
      <xsd:complexType>
        <xsd:sequence>
          <xsd:element name="documentManagement">
            <xsd:complexType>
              <xsd:all>
                <xsd:element ref="ns2:Author0" minOccurs="0"/>
                <xsd:element ref="ns2:Status"/>
                <xsd:element ref="ns2:URL" minOccurs="0"/>
                <xsd:element ref="ns2:Date_x0020_Uploaded"/>
              </xsd:all>
            </xsd:complexType>
          </xsd:element>
        </xsd:sequence>
      </xsd:complexType>
    </xsd:element>
  </xsd:schema>
  <xsd:schema xmlns:xsd="http://www.w3.org/2001/XMLSchema" xmlns:dms="http://schemas.microsoft.com/office/2006/documentManagement/types" targetNamespace="e088bdf7-e3e8-4871-901b-790e98bd1fd6" elementFormDefault="qualified">
    <xsd:import namespace="http://schemas.microsoft.com/office/2006/documentManagement/types"/>
    <xsd:element name="Author0" ma:index="2" nillable="true" ma:displayName="Author" ma:internalName="Author0">
      <xsd:simpleType>
        <xsd:restriction base="dms:Text">
          <xsd:maxLength value="255"/>
        </xsd:restriction>
      </xsd:simpleType>
    </xsd:element>
    <xsd:element name="Status" ma:index="3" ma:displayName="Status" ma:default="In Editing" ma:format="Dropdown" ma:internalName="Status">
      <xsd:simpleType>
        <xsd:restriction base="dms:Choice">
          <xsd:enumeration value="In Editing"/>
          <xsd:enumeration value="Edit Complete/Ready To Publish"/>
          <xsd:enumeration value="Published"/>
          <xsd:enumeration value="On Hold"/>
        </xsd:restriction>
      </xsd:simpleType>
    </xsd:element>
    <xsd:element name="URL" ma:index="4"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ate_x0020_Uploaded" ma:index="5" ma:displayName="Date Uploaded" ma:default="[today]" ma:format="DateOnly" ma:internalName="Date_x0020_Upload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e088bdf7-e3e8-4871-901b-790e98bd1fd6"/>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D6830D59-8685-474F-92FA-3BBFB02E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bdf7-e3e8-4871-901b-790e98bd1fd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8AD2FA7-AF92-425F-A7AA-0CDB0456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Migration Paper.dotx</Template>
  <TotalTime>7</TotalTime>
  <Pages>1</Pages>
  <Words>4087</Words>
  <Characters>23300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Migration Guide: Migrating to SQL Server 2012 Failover Clustering and Availability Groups from Prior Clustering and Mirroring Deployments (Part I)</vt:lpstr>
    </vt:vector>
  </TitlesOfParts>
  <Company>Microsoft</Company>
  <LinksUpToDate>false</LinksUpToDate>
  <CharactersWithSpaces>27333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Guide: Migrating to SQL Server 2012 Failover Clustering and Availability Groups from Prior Clustering and Mirroring Deployments (Part I)</dc:title>
  <dc:creator>Cephas Lin</dc:creator>
  <cp:lastModifiedBy>Monica Rush</cp:lastModifiedBy>
  <cp:revision>5</cp:revision>
  <dcterms:created xsi:type="dcterms:W3CDTF">2012-05-18T15:42:00Z</dcterms:created>
  <dcterms:modified xsi:type="dcterms:W3CDTF">2013-02-11T16:25:00Z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0x010100AF8C66A23E6BEB4BBC5A3055A52CD324</vt:lpwstr>
  </property>
</Properties>
</file>