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011E1BB3"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AC2D36">
        <w:rPr>
          <w:rFonts w:ascii="Segoe UI" w:hAnsi="Segoe UI" w:cs="Segoe UI"/>
          <w:color w:val="auto"/>
          <w:sz w:val="24"/>
          <w:szCs w:val="24"/>
        </w:rPr>
        <w:t xml:space="preserve">ssibility Guidelines (WCAG) 2.0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07C4060A" w:rsidR="008441D3" w:rsidRDefault="006B7749" w:rsidP="008441D3">
      <w:pPr>
        <w:spacing w:line="360" w:lineRule="auto"/>
        <w:rPr>
          <w:rFonts w:cs="Segoe UI"/>
        </w:rPr>
      </w:pPr>
      <w:r w:rsidRPr="00780DAA">
        <w:rPr>
          <w:rFonts w:cs="Segoe UI"/>
        </w:rPr>
        <w:t>Date:</w:t>
      </w:r>
      <w:r w:rsidR="006D3090">
        <w:rPr>
          <w:rFonts w:cs="Segoe UI"/>
        </w:rPr>
        <w:t xml:space="preserve"> </w:t>
      </w:r>
      <w:r>
        <w:rPr>
          <w:rFonts w:cs="Segoe UI"/>
        </w:rPr>
        <w:t>12/3/2016</w:t>
      </w:r>
    </w:p>
    <w:p w14:paraId="7D7078A8" w14:textId="57B4AEBD" w:rsidR="00E326AF" w:rsidRDefault="006B7749" w:rsidP="008441D3">
      <w:pPr>
        <w:spacing w:line="360" w:lineRule="auto"/>
        <w:rPr>
          <w:rFonts w:cs="Segoe UI"/>
        </w:rPr>
      </w:pPr>
      <w:r w:rsidRPr="00780DAA">
        <w:rPr>
          <w:rFonts w:cs="Segoe UI"/>
        </w:rPr>
        <w:t>Name of Product:</w:t>
      </w:r>
      <w:r w:rsidR="006D3090">
        <w:rPr>
          <w:rFonts w:cs="Segoe UI"/>
        </w:rPr>
        <w:t xml:space="preserve"> </w:t>
      </w:r>
      <w:r>
        <w:rPr>
          <w:rFonts w:cs="Segoe UI"/>
        </w:rPr>
        <w:t>Project Online Desktop Client</w:t>
      </w:r>
      <w:r w:rsidR="00C14778" w:rsidRPr="00780DAA">
        <w:rPr>
          <w:rFonts w:cs="Segoe UI"/>
        </w:rPr>
        <w:t xml:space="preserve"> </w:t>
      </w:r>
    </w:p>
    <w:p w14:paraId="215C89A2" w14:textId="724A5902" w:rsidR="00DD2CDF" w:rsidRPr="001A7ABD" w:rsidRDefault="00DD2CDF" w:rsidP="00DD2CDF">
      <w:pPr>
        <w:spacing w:after="0" w:line="360" w:lineRule="auto"/>
        <w:rPr>
          <w:rFonts w:cs="Segoe UI"/>
        </w:rPr>
      </w:pPr>
      <w:r w:rsidRPr="001A7ABD">
        <w:rPr>
          <w:rFonts w:eastAsia="Segoe UI" w:cs="Segoe UI"/>
        </w:rPr>
        <w:t xml:space="preserve">Description of Product: </w:t>
      </w:r>
      <w:r>
        <w:rPr>
          <w:rFonts w:eastAsia="Segoe UI" w:cs="Segoe UI"/>
        </w:rPr>
        <w:t xml:space="preserve">Microsoft Project is a project management software program that is designed to assist a project manager in developing a plan, assigning resources to tasks, tracking progress, managing the budget, and analyzing workloads. </w:t>
      </w:r>
    </w:p>
    <w:p w14:paraId="7618DE45" w14:textId="77777777" w:rsidR="00DD2CDF" w:rsidRPr="001A7ABD" w:rsidRDefault="00DD2CDF" w:rsidP="00DD2CDF">
      <w:pPr>
        <w:spacing w:after="0" w:line="360" w:lineRule="auto"/>
        <w:rPr>
          <w:rFonts w:cs="Segoe UI"/>
        </w:rPr>
      </w:pPr>
      <w:r w:rsidRPr="001A7ABD">
        <w:rPr>
          <w:rFonts w:eastAsia="Segoe UI" w:cs="Segoe UI"/>
        </w:rPr>
        <w:t xml:space="preserve">Platform: </w:t>
      </w:r>
      <w:r>
        <w:rPr>
          <w:rFonts w:eastAsia="Segoe UI" w:cs="Segoe UI"/>
        </w:rPr>
        <w:t>Win32</w:t>
      </w:r>
    </w:p>
    <w:p w14:paraId="3313F5C7" w14:textId="77777777" w:rsidR="00DD2CDF" w:rsidRPr="001A7ABD" w:rsidRDefault="00DD2CDF" w:rsidP="00DD2CDF">
      <w:pPr>
        <w:spacing w:after="0" w:line="360" w:lineRule="auto"/>
        <w:rPr>
          <w:rFonts w:cs="Segoe UI"/>
        </w:rPr>
      </w:pPr>
      <w:r w:rsidRPr="001A7ABD">
        <w:rPr>
          <w:rFonts w:eastAsia="Segoe UI" w:cs="Segoe UI"/>
        </w:rPr>
        <w:t xml:space="preserve">Product ID: </w:t>
      </w:r>
      <w:r>
        <w:rPr>
          <w:rFonts w:eastAsia="Segoe UI" w:cs="Segoe UI"/>
        </w:rPr>
        <w:t>00213-60003-85686-AA500</w:t>
      </w:r>
    </w:p>
    <w:p w14:paraId="1FC89EC0" w14:textId="77777777" w:rsidR="00DD2CDF" w:rsidRPr="00006753" w:rsidRDefault="00DD2CDF" w:rsidP="00DD2CDF">
      <w:pPr>
        <w:spacing w:line="360" w:lineRule="auto"/>
        <w:rPr>
          <w:rFonts w:cs="Segoe UI"/>
        </w:rPr>
      </w:pPr>
      <w:r w:rsidRPr="00006753">
        <w:rPr>
          <w:rFonts w:cs="Segoe UI"/>
        </w:rPr>
        <w:t xml:space="preserve">Website: </w:t>
      </w:r>
      <w:hyperlink r:id="rId8" w:history="1">
        <w:r w:rsidRPr="00006753">
          <w:rPr>
            <w:rStyle w:val="Hyperlink"/>
            <w:rFonts w:cs="Segoe UI"/>
          </w:rPr>
          <w:t>Office Accessibility Center</w:t>
        </w:r>
      </w:hyperlink>
    </w:p>
    <w:p w14:paraId="6E7EDBDA" w14:textId="77777777" w:rsidR="00DD2CDF" w:rsidRPr="00006753" w:rsidRDefault="00DD2CDF" w:rsidP="00DD2CDF">
      <w:pPr>
        <w:spacing w:line="360" w:lineRule="auto"/>
        <w:rPr>
          <w:rFonts w:cs="Segoe UI"/>
        </w:rPr>
      </w:pPr>
      <w:r w:rsidRPr="00006753">
        <w:rPr>
          <w:rFonts w:eastAsia="Segoe UI" w:cs="Segoe UI"/>
        </w:rPr>
        <w:t xml:space="preserve">Accessibility Contact for more information: </w:t>
      </w:r>
      <w:hyperlink r:id="rId9" w:history="1">
        <w:r w:rsidRPr="00006753">
          <w:rPr>
            <w:rStyle w:val="Hyperlink"/>
            <w:rFonts w:eastAsia="Segoe UI" w:cs="Segoe UI"/>
          </w:rPr>
          <w:t>Enterprise Disability Answer Desk (</w:t>
        </w:r>
        <w:proofErr w:type="spellStart"/>
        <w:r w:rsidRPr="00006753">
          <w:rPr>
            <w:rStyle w:val="Hyperlink"/>
            <w:rFonts w:eastAsia="Segoe UI" w:cs="Segoe UI"/>
          </w:rPr>
          <w:t>eDAD</w:t>
        </w:r>
        <w:proofErr w:type="spellEnd"/>
        <w:r w:rsidRPr="00006753">
          <w:rPr>
            <w:rStyle w:val="Hyperlink"/>
            <w:rFonts w:eastAsia="Segoe UI" w:cs="Segoe UI"/>
          </w:rPr>
          <w:t>)</w:t>
        </w:r>
      </w:hyperlink>
    </w:p>
    <w:p w14:paraId="578D5033" w14:textId="3A1FEA06" w:rsidR="00B66250" w:rsidRPr="007B77FB" w:rsidRDefault="00B66250" w:rsidP="00B66250">
      <w:pPr>
        <w:rPr>
          <w:rFonts w:cs="Segoe UI"/>
        </w:rPr>
      </w:pPr>
      <w:r>
        <w:rPr>
          <w:rFonts w:cs="Segoe UI"/>
        </w:rPr>
        <w:t xml:space="preserve">For assistance with this report or finding one for another product, </w:t>
      </w:r>
      <w:r w:rsidR="00153720">
        <w:rPr>
          <w:rFonts w:cs="Segoe UI"/>
        </w:rPr>
        <w:t>please</w:t>
      </w:r>
      <w:r>
        <w:rPr>
          <w:rFonts w:cs="Segoe UI"/>
        </w:rPr>
        <w:t xml:space="preserve"> </w:t>
      </w:r>
      <w:hyperlink r:id="rId10"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0264DC" w:rsidRPr="00780DAA" w14:paraId="0FF58CEF" w14:textId="77777777" w:rsidTr="000B13E7">
        <w:trPr>
          <w:cantSplit/>
          <w:tblHeader/>
        </w:trPr>
        <w:tc>
          <w:tcPr>
            <w:tcW w:w="8005" w:type="dxa"/>
          </w:tcPr>
          <w:p w14:paraId="3DF5156E" w14:textId="77777777" w:rsidR="000264DC" w:rsidRPr="00780DAA" w:rsidRDefault="000264DC" w:rsidP="002F794B">
            <w:pPr>
              <w:tabs>
                <w:tab w:val="left" w:pos="1335"/>
              </w:tabs>
              <w:rPr>
                <w:rFonts w:cs="Segoe UI"/>
                <w:b/>
              </w:rPr>
            </w:pPr>
            <w:r w:rsidRPr="00780DAA">
              <w:rPr>
                <w:rFonts w:cs="Segoe UI"/>
                <w:b/>
              </w:rPr>
              <w:t>Criteria</w:t>
            </w:r>
            <w:r w:rsidRPr="00780DAA">
              <w:rPr>
                <w:rFonts w:cs="Segoe UI"/>
                <w:b/>
              </w:rPr>
              <w:tab/>
            </w:r>
          </w:p>
        </w:tc>
      </w:tr>
      <w:tr w:rsidR="000264DC" w:rsidRPr="00780DAA" w14:paraId="7F44904C" w14:textId="77777777" w:rsidTr="000B13E7">
        <w:trPr>
          <w:cantSplit/>
          <w:tblHeader/>
        </w:trPr>
        <w:tc>
          <w:tcPr>
            <w:tcW w:w="8005" w:type="dxa"/>
          </w:tcPr>
          <w:p w14:paraId="5A2C5EF3" w14:textId="77777777" w:rsidR="000264DC" w:rsidRPr="00780DAA" w:rsidRDefault="00945A45" w:rsidP="002F794B">
            <w:hyperlink r:id="rId11" w:anchor="cc1" w:history="1">
              <w:r w:rsidR="000264DC" w:rsidRPr="004C6F9C">
                <w:rPr>
                  <w:rStyle w:val="Hyperlink"/>
                  <w:rFonts w:cs="Segoe UI"/>
                </w:rPr>
                <w:t>1. Conformance Level</w:t>
              </w:r>
            </w:hyperlink>
          </w:p>
        </w:tc>
      </w:tr>
      <w:tr w:rsidR="000264DC" w:rsidRPr="00780DAA" w14:paraId="47983DBC" w14:textId="77777777" w:rsidTr="000B13E7">
        <w:trPr>
          <w:cantSplit/>
          <w:tblHeader/>
        </w:trPr>
        <w:tc>
          <w:tcPr>
            <w:tcW w:w="8005" w:type="dxa"/>
          </w:tcPr>
          <w:p w14:paraId="0460A188" w14:textId="77777777" w:rsidR="000264DC" w:rsidRPr="00780DAA" w:rsidRDefault="00945A45" w:rsidP="002F794B">
            <w:hyperlink r:id="rId12" w:anchor="cc2" w:history="1">
              <w:r w:rsidR="000264DC" w:rsidRPr="004C6F9C">
                <w:rPr>
                  <w:rStyle w:val="Hyperlink"/>
                  <w:rFonts w:cs="Segoe UI"/>
                </w:rPr>
                <w:t>2. Full pages</w:t>
              </w:r>
            </w:hyperlink>
          </w:p>
        </w:tc>
      </w:tr>
      <w:tr w:rsidR="000264DC" w:rsidRPr="00780DAA" w14:paraId="7B783EC3" w14:textId="77777777" w:rsidTr="000B13E7">
        <w:trPr>
          <w:cantSplit/>
          <w:tblHeader/>
        </w:trPr>
        <w:tc>
          <w:tcPr>
            <w:tcW w:w="8005" w:type="dxa"/>
          </w:tcPr>
          <w:p w14:paraId="36853714" w14:textId="77777777" w:rsidR="000264DC" w:rsidRPr="004C6F9C" w:rsidRDefault="00945A45" w:rsidP="002F794B">
            <w:hyperlink r:id="rId13" w:anchor="cc3" w:history="1">
              <w:r w:rsidR="000264DC" w:rsidRPr="004C6F9C">
                <w:rPr>
                  <w:rStyle w:val="Hyperlink"/>
                  <w:rFonts w:cs="Segoe UI"/>
                </w:rPr>
                <w:t>3. Complete processes</w:t>
              </w:r>
            </w:hyperlink>
          </w:p>
        </w:tc>
      </w:tr>
      <w:tr w:rsidR="000264DC" w:rsidRPr="00780DAA" w14:paraId="0C6DC03C" w14:textId="77777777" w:rsidTr="000B13E7">
        <w:trPr>
          <w:cantSplit/>
          <w:tblHeader/>
        </w:trPr>
        <w:tc>
          <w:tcPr>
            <w:tcW w:w="8005" w:type="dxa"/>
          </w:tcPr>
          <w:p w14:paraId="4F0CB4C7" w14:textId="77777777" w:rsidR="000264DC" w:rsidRPr="004C6F9C" w:rsidRDefault="00945A45" w:rsidP="002F794B">
            <w:hyperlink r:id="rId14" w:anchor="cc4" w:history="1">
              <w:r w:rsidR="000264DC" w:rsidRPr="004C6F9C">
                <w:rPr>
                  <w:rStyle w:val="Hyperlink"/>
                  <w:rFonts w:cs="Segoe UI"/>
                </w:rPr>
                <w:t>4. Only Accessibility-Supported Ways of Using Technologies</w:t>
              </w:r>
            </w:hyperlink>
          </w:p>
        </w:tc>
      </w:tr>
      <w:tr w:rsidR="000264DC" w:rsidRPr="00780DAA" w14:paraId="5B76C6BE" w14:textId="77777777" w:rsidTr="000B13E7">
        <w:trPr>
          <w:cantSplit/>
          <w:tblHeader/>
        </w:trPr>
        <w:tc>
          <w:tcPr>
            <w:tcW w:w="8005" w:type="dxa"/>
          </w:tcPr>
          <w:p w14:paraId="697476D1" w14:textId="77777777" w:rsidR="000264DC" w:rsidRPr="004C6F9C" w:rsidRDefault="00945A45" w:rsidP="002F794B">
            <w:hyperlink r:id="rId15" w:anchor="cc5" w:history="1">
              <w:r w:rsidR="000264DC" w:rsidRPr="004C6F9C">
                <w:rPr>
                  <w:rStyle w:val="Hyperlink"/>
                  <w:rFonts w:cs="Segoe UI"/>
                </w:rPr>
                <w:t>5. Non-Interference</w:t>
              </w:r>
            </w:hyperlink>
          </w:p>
        </w:tc>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1EB4980D"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 xml:space="preserve">Web Content Accessibility Guidelines (WCAG) 2.0 </w:t>
      </w:r>
      <w:r w:rsidR="00D55227">
        <w:br/>
      </w:r>
    </w:p>
    <w:bookmarkEnd w:id="3"/>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545770DE" w:rsidR="00DC03E4" w:rsidRPr="00780DAA" w:rsidRDefault="00DC03E4" w:rsidP="00DC03E4">
            <w:r w:rsidRPr="00D92FDF">
              <w:t>•</w:t>
            </w:r>
            <w:r w:rsidR="002D1B0A" w:rsidRPr="00D92FDF">
              <w:t xml:space="preserve"> </w:t>
            </w:r>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08CD4E0E" w:rsidR="00DC03E4" w:rsidRPr="00780DAA" w:rsidRDefault="00DC03E4" w:rsidP="00DC03E4">
            <w:r w:rsidRPr="00D92FDF">
              <w:t>•</w:t>
            </w:r>
            <w:r w:rsidR="002D1B0A" w:rsidRPr="00D92FDF">
              <w:t xml:space="preserve"> </w:t>
            </w:r>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1D31652C" w:rsidR="00DC03E4" w:rsidRPr="00780DAA" w:rsidRDefault="00DC03E4" w:rsidP="00DC03E4">
            <w:r w:rsidRPr="00D92FDF">
              <w:t>•</w:t>
            </w:r>
            <w:r w:rsidR="002D1B0A" w:rsidRPr="00D92FDF">
              <w:t xml:space="preserve"> </w:t>
            </w:r>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2B3AA473" w:rsidR="00DC03E4" w:rsidRPr="00780DAA" w:rsidRDefault="00DC03E4" w:rsidP="00DC03E4">
            <w:r w:rsidRPr="00D92FDF">
              <w:t>•</w:t>
            </w:r>
            <w:r w:rsidR="002D1B0A" w:rsidRPr="00D92FDF">
              <w:t xml:space="preserve"> </w:t>
            </w:r>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0D466D17" w:rsidR="00DC03E4" w:rsidRPr="00780DAA" w:rsidRDefault="00DC03E4" w:rsidP="003911E7">
            <w:r w:rsidRPr="00D92FDF">
              <w:t>•</w:t>
            </w:r>
            <w:r w:rsidR="002D1B0A" w:rsidRPr="00D92FDF">
              <w:t xml:space="preserve"> </w:t>
            </w:r>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84563AA" w:rsidR="00DC03E4" w:rsidRPr="00780DAA" w:rsidRDefault="00DC03E4" w:rsidP="00DC03E4">
            <w:r w:rsidRPr="00236058">
              <w:t>•</w:t>
            </w:r>
            <w:r w:rsidR="00236058" w:rsidRPr="00236058">
              <w:t xml:space="preserve"> </w:t>
            </w:r>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A51B83">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lastRenderedPageBreak/>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A51B83">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153720">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w:t>
            </w:r>
          </w:p>
        </w:tc>
        <w:tc>
          <w:tcPr>
            <w:tcW w:w="3775" w:type="dxa"/>
          </w:tcPr>
          <w:p w14:paraId="1DA3AC16" w14:textId="462D9F1D" w:rsidR="00DC03E4" w:rsidRPr="00780DAA" w:rsidRDefault="00DC03E4" w:rsidP="00DC03E4">
            <w:pPr>
              <w:rPr>
                <w:rFonts w:cs="Segoe UI"/>
              </w:rPr>
            </w:pP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153720">
        <w:tblPrEx>
          <w:tblCellMar>
            <w:left w:w="115" w:type="dxa"/>
            <w:right w:w="115" w:type="dxa"/>
          </w:tblCellMar>
        </w:tblPrEx>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w:t>
            </w:r>
            <w:r w:rsidRPr="00780DAA">
              <w:rPr>
                <w:rFonts w:cs="Segoe UI"/>
                <w:szCs w:val="20"/>
              </w:rPr>
              <w:lastRenderedPageBreak/>
              <w:t>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Not Applicable</w:t>
            </w:r>
          </w:p>
        </w:tc>
        <w:tc>
          <w:tcPr>
            <w:tcW w:w="3757" w:type="dxa"/>
          </w:tcPr>
          <w:p w14:paraId="1DA3AC2D" w14:textId="43FE0CC9" w:rsidR="00DC03E4" w:rsidRPr="00780DAA" w:rsidRDefault="00DC03E4" w:rsidP="00DC03E4">
            <w:pPr>
              <w:rPr>
                <w:rFonts w:cs="Segoe UI"/>
              </w:rPr>
            </w:pPr>
          </w:p>
        </w:tc>
      </w:tr>
      <w:tr w:rsidR="00F46FD2" w:rsidRPr="00780DAA" w14:paraId="617EC414" w14:textId="77777777" w:rsidTr="00153720">
        <w:tblPrEx>
          <w:tblCellMar>
            <w:left w:w="115" w:type="dxa"/>
            <w:right w:w="115" w:type="dxa"/>
          </w:tblCellMar>
        </w:tblPrEx>
        <w:tc>
          <w:tcPr>
            <w:tcW w:w="3970" w:type="dxa"/>
          </w:tcPr>
          <w:p w14:paraId="57352B86" w14:textId="77777777"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tcPr>
          <w:p w14:paraId="26388623" w14:textId="24A10705" w:rsidR="00F46FD2" w:rsidRPr="000E30E5" w:rsidRDefault="00F46FD2" w:rsidP="00F46FD2">
            <w:pPr>
              <w:rPr>
                <w:rFonts w:cs="Segoe UI"/>
                <w:b/>
              </w:rPr>
            </w:pPr>
          </w:p>
        </w:tc>
      </w:tr>
      <w:tr w:rsidR="00F46FD2" w:rsidRPr="00780DAA" w14:paraId="08A05959" w14:textId="77777777" w:rsidTr="00153720">
        <w:tblPrEx>
          <w:tblCellMar>
            <w:left w:w="115" w:type="dxa"/>
            <w:right w:w="115" w:type="dxa"/>
          </w:tblCellMar>
        </w:tblPrEx>
        <w:tc>
          <w:tcPr>
            <w:tcW w:w="3970" w:type="dxa"/>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tcPr>
          <w:p w14:paraId="5F778E70" w14:textId="3D4E070D" w:rsidR="00F46FD2" w:rsidRDefault="00F46FD2" w:rsidP="00F46FD2"/>
        </w:tc>
      </w:tr>
      <w:tr w:rsidR="00F46FD2" w:rsidRPr="00780DAA" w14:paraId="1F04E7E6" w14:textId="77777777" w:rsidTr="00153720">
        <w:tblPrEx>
          <w:tblCellMar>
            <w:left w:w="115" w:type="dxa"/>
            <w:right w:w="115" w:type="dxa"/>
          </w:tblCellMar>
        </w:tblPrEx>
        <w:tc>
          <w:tcPr>
            <w:tcW w:w="3970" w:type="dxa"/>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tcPr>
          <w:p w14:paraId="4206EED3" w14:textId="688E47E2" w:rsidR="00F46FD2" w:rsidRDefault="00F46FD2" w:rsidP="00F46FD2"/>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lastRenderedPageBreak/>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153720">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 With Exceptions</w:t>
            </w:r>
          </w:p>
        </w:tc>
        <w:tc>
          <w:tcPr>
            <w:tcW w:w="3897" w:type="dxa"/>
          </w:tcPr>
          <w:p w14:paraId="1DA3AC3B" w14:textId="1DC39CF8" w:rsidR="00DC03E4" w:rsidRPr="00780DAA" w:rsidRDefault="00DC03E4" w:rsidP="00DC03E4">
            <w:pPr>
              <w:rPr>
                <w:rFonts w:cs="Segoe UI"/>
              </w:rPr>
            </w:pPr>
            <w:r>
              <w:t>In the Reports view, some chart types that allow movement of chart elements using the mouse, don’t support movement of these elements using the keyboard. Additionally the handles for adjusting some attributes of shapes cannot be adjusted using a keyboard.</w:t>
            </w:r>
            <w:r>
              <w:br/>
            </w:r>
            <w:r>
              <w:br/>
              <w:t>In the Calendar view, you can't switch between Months and Weeks with the keyboard or select tasks.</w:t>
            </w: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w:t>
            </w:r>
            <w:r w:rsidRPr="00780DAA">
              <w:rPr>
                <w:rFonts w:cs="Segoe UI"/>
                <w:szCs w:val="20"/>
              </w:rPr>
              <w:lastRenderedPageBreak/>
              <w:t>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Not Applicable</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153720">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33EEEC6E" w:rsidR="00DC03E4" w:rsidRPr="00780DAA" w:rsidRDefault="00993551"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lastRenderedPageBreak/>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153720">
        <w:tblPrEx>
          <w:tblCellMar>
            <w:left w:w="115" w:type="dxa"/>
            <w:right w:w="115" w:type="dxa"/>
          </w:tblCellMar>
        </w:tblPrEx>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EFF8952" w:rsidR="00DC03E4" w:rsidRPr="00780DAA" w:rsidRDefault="00993551"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6E24CA">
        <w:tblPrEx>
          <w:tblCellMar>
            <w:left w:w="115" w:type="dxa"/>
            <w:right w:w="115" w:type="dxa"/>
          </w:tblCellMar>
        </w:tblPrEx>
        <w:trPr>
          <w:cantSplit/>
        </w:trPr>
        <w:tc>
          <w:tcPr>
            <w:tcW w:w="3902" w:type="dxa"/>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6E24CA">
        <w:tblPrEx>
          <w:tblCellMar>
            <w:left w:w="115" w:type="dxa"/>
            <w:right w:w="115" w:type="dxa"/>
          </w:tblCellMar>
        </w:tblPrEx>
        <w:trPr>
          <w:cantSplit/>
        </w:trPr>
        <w:tc>
          <w:tcPr>
            <w:tcW w:w="3902" w:type="dxa"/>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6E24CA">
        <w:tblPrEx>
          <w:tblCellMar>
            <w:left w:w="115" w:type="dxa"/>
            <w:right w:w="115" w:type="dxa"/>
          </w:tblCellMar>
        </w:tblPrEx>
        <w:trPr>
          <w:cantSplit/>
        </w:trPr>
        <w:tc>
          <w:tcPr>
            <w:tcW w:w="3902" w:type="dxa"/>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77777777" w:rsidR="00D00747" w:rsidRPr="00780DAA" w:rsidRDefault="00D00747"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153720">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xml:space="preserve">: The default human language of each </w:t>
            </w:r>
            <w:r w:rsidRPr="00780DAA">
              <w:rPr>
                <w:rFonts w:cs="Segoe UI"/>
                <w:szCs w:val="20"/>
              </w:rPr>
              <w:lastRenderedPageBreak/>
              <w:t>Web page can be programmatically determined.</w:t>
            </w:r>
          </w:p>
        </w:tc>
        <w:tc>
          <w:tcPr>
            <w:tcW w:w="3107" w:type="dxa"/>
          </w:tcPr>
          <w:p w14:paraId="1DA3AC84" w14:textId="685716AD" w:rsidR="00DC03E4" w:rsidRPr="00780DAA" w:rsidRDefault="00DC03E4" w:rsidP="00DC03E4">
            <w:pPr>
              <w:rPr>
                <w:rFonts w:cs="Segoe UI"/>
              </w:rPr>
            </w:pPr>
            <w:r>
              <w:lastRenderedPageBreak/>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22625">
        <w:tc>
          <w:tcPr>
            <w:tcW w:w="3818" w:type="dxa"/>
            <w:vAlign w:val="center"/>
          </w:tcPr>
          <w:p w14:paraId="41746B2A" w14:textId="5CB7D9D2" w:rsidR="00F46FD2" w:rsidRPr="000E30E5" w:rsidRDefault="00F46FD2" w:rsidP="00F46FD2">
            <w:pPr>
              <w:spacing w:before="60" w:after="60"/>
              <w:rPr>
                <w:rFonts w:cs="Segoe UI"/>
                <w:b/>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Supported</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153720">
        <w:tblPrEx>
          <w:tblCellMar>
            <w:left w:w="115" w:type="dxa"/>
            <w:right w:w="115" w:type="dxa"/>
          </w:tblCellMar>
        </w:tblPrEx>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D22FA8">
        <w:tblPrEx>
          <w:tblCellMar>
            <w:left w:w="115" w:type="dxa"/>
            <w:right w:w="115" w:type="dxa"/>
          </w:tblCellMar>
        </w:tblPrEx>
        <w:tc>
          <w:tcPr>
            <w:tcW w:w="3782" w:type="dxa"/>
            <w:vAlign w:val="center"/>
          </w:tcPr>
          <w:p w14:paraId="71148181" w14:textId="26DC40DB" w:rsidR="00F46FD2" w:rsidRPr="000E30E5" w:rsidRDefault="00F46FD2" w:rsidP="00F46FD2">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D22FA8">
        <w:tblPrEx>
          <w:tblCellMar>
            <w:left w:w="115" w:type="dxa"/>
            <w:right w:w="115" w:type="dxa"/>
          </w:tblCellMar>
        </w:tblPrEx>
        <w:tc>
          <w:tcPr>
            <w:tcW w:w="3782" w:type="dxa"/>
            <w:vAlign w:val="center"/>
          </w:tcPr>
          <w:p w14:paraId="5E9F1653" w14:textId="1DBA7C23" w:rsidR="00F46FD2" w:rsidRPr="00780DAA" w:rsidRDefault="00F46FD2" w:rsidP="00F46FD2">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153720">
        <w:tblPrEx>
          <w:tblCellMar>
            <w:left w:w="115" w:type="dxa"/>
            <w:right w:w="115" w:type="dxa"/>
          </w:tblCellMar>
        </w:tblPrEx>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w:t>
            </w:r>
            <w:r w:rsidRPr="00780DAA">
              <w:rPr>
                <w:rFonts w:cs="Segoe UI"/>
                <w:szCs w:val="20"/>
              </w:rPr>
              <w:lastRenderedPageBreak/>
              <w:t>identified and the error is described to the user in text.</w:t>
            </w:r>
          </w:p>
        </w:tc>
        <w:tc>
          <w:tcPr>
            <w:tcW w:w="3150" w:type="dxa"/>
          </w:tcPr>
          <w:p w14:paraId="1DA3AC9E" w14:textId="414571A7" w:rsidR="00DC03E4" w:rsidRPr="00780DAA" w:rsidRDefault="00DC03E4" w:rsidP="00DC03E4">
            <w:pPr>
              <w:rPr>
                <w:rFonts w:cs="Segoe UI"/>
              </w:rPr>
            </w:pPr>
            <w:r>
              <w:lastRenderedPageBreak/>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B6671A">
        <w:tblPrEx>
          <w:tblCellMar>
            <w:left w:w="115" w:type="dxa"/>
            <w:right w:w="115" w:type="dxa"/>
          </w:tblCellMar>
        </w:tblPrEx>
        <w:trPr>
          <w:cantSplit/>
        </w:trPr>
        <w:tc>
          <w:tcPr>
            <w:tcW w:w="3789" w:type="dxa"/>
            <w:vAlign w:val="center"/>
          </w:tcPr>
          <w:p w14:paraId="6D414241" w14:textId="08A5CA66" w:rsidR="00F46FD2" w:rsidRPr="000E30E5" w:rsidRDefault="00F46FD2" w:rsidP="00F46FD2">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B6671A">
        <w:tblPrEx>
          <w:tblCellMar>
            <w:left w:w="115" w:type="dxa"/>
            <w:right w:w="115" w:type="dxa"/>
          </w:tblCellMar>
        </w:tblPrEx>
        <w:trPr>
          <w:cantSplit/>
        </w:trPr>
        <w:tc>
          <w:tcPr>
            <w:tcW w:w="3789" w:type="dxa"/>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153720">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w:t>
            </w:r>
            <w:r w:rsidRPr="00780DAA">
              <w:rPr>
                <w:rFonts w:cs="Segoe UI"/>
                <w:szCs w:val="20"/>
              </w:rPr>
              <w:lastRenderedPageBreak/>
              <w:t>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lastRenderedPageBreak/>
              <w:t>Supported With Exceptions</w:t>
            </w:r>
          </w:p>
        </w:tc>
        <w:tc>
          <w:tcPr>
            <w:tcW w:w="3870" w:type="dxa"/>
          </w:tcPr>
          <w:p w14:paraId="1DA3ACB0" w14:textId="007E3D5A" w:rsidR="00DC03E4" w:rsidRPr="00780DAA" w:rsidRDefault="00DC03E4" w:rsidP="00DC03E4">
            <w:pPr>
              <w:rPr>
                <w:rFonts w:cs="Segoe UI"/>
              </w:rPr>
            </w:pPr>
            <w:r>
              <w:t xml:space="preserve">The following view types aren't supported with Screen Readers - Network Diagram, Calendar and Resource Graph.  </w:t>
            </w:r>
            <w:r>
              <w:br/>
            </w:r>
            <w:r>
              <w:br/>
              <w:t xml:space="preserve">In the Report view, only basic </w:t>
            </w:r>
            <w:r>
              <w:lastRenderedPageBreak/>
              <w:t>information about the items is available to assistive technologies but not the content of the items.</w:t>
            </w:r>
            <w:r>
              <w:br/>
            </w:r>
            <w:r>
              <w:br/>
              <w:t>When browsing SharePoint through the Common File Dialog, whether an item is a File or Folder may not be apparent to assistive technologies.</w:t>
            </w: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lastRenderedPageBreak/>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4_Video" w:displacedByCustomXml="next"/>
    <w:bookmarkEnd w:id="9" w:displacedByCustomXml="next"/>
    <w:bookmarkStart w:id="10" w:name="_Section_1194.25_Self-Contained," w:displacedByCustomXml="next"/>
    <w:bookmarkEnd w:id="10" w:displacedByCustomXml="next"/>
    <w:sdt>
      <w:sdtPr>
        <w:rPr>
          <w:rFonts w:cs="Segoe UI"/>
          <w:color w:val="FF0000"/>
          <w:szCs w:val="20"/>
        </w:rPr>
        <w:alias w:val="Disclaimer"/>
        <w:tag w:val="Disclaimer"/>
        <w:id w:val="-887875971"/>
      </w:sdtPr>
      <w:sdtEndPr>
        <w:rPr>
          <w:sz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5F83AFC6" w:rsidR="002E1A7D" w:rsidRPr="00342263" w:rsidRDefault="00DA4671" w:rsidP="002E1A7D">
          <w:pPr>
            <w:ind w:firstLine="360"/>
            <w:rPr>
              <w:rFonts w:cs="Segoe UI"/>
              <w:sz w:val="20"/>
              <w:szCs w:val="20"/>
            </w:rPr>
          </w:pPr>
          <w:r w:rsidRPr="00342263">
            <w:rPr>
              <w:rFonts w:cs="Segoe UI"/>
              <w:sz w:val="20"/>
              <w:szCs w:val="20"/>
            </w:rPr>
            <w:t>© 2016</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77777777"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CA9" w14:textId="77777777" w:rsidR="0036285F" w:rsidRDefault="0036285F" w:rsidP="007A0F94">
      <w:pPr>
        <w:spacing w:after="0"/>
      </w:pPr>
      <w:r>
        <w:separator/>
      </w:r>
    </w:p>
  </w:endnote>
  <w:endnote w:type="continuationSeparator" w:id="0">
    <w:p w14:paraId="590CDFD9" w14:textId="77777777" w:rsidR="0036285F" w:rsidRDefault="0036285F"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32B613B9"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945A45">
              <w:rPr>
                <w:b/>
                <w:bCs/>
                <w:noProof/>
                <w:sz w:val="20"/>
                <w:szCs w:val="20"/>
              </w:rPr>
              <w:t>11</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945A45">
              <w:rPr>
                <w:b/>
                <w:bCs/>
                <w:noProof/>
                <w:sz w:val="20"/>
                <w:szCs w:val="20"/>
              </w:rPr>
              <w:t>11</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92F8" w14:textId="77777777" w:rsidR="0036285F" w:rsidRDefault="0036285F" w:rsidP="007A0F94">
      <w:pPr>
        <w:spacing w:after="0"/>
      </w:pPr>
      <w:r>
        <w:separator/>
      </w:r>
    </w:p>
  </w:footnote>
  <w:footnote w:type="continuationSeparator" w:id="0">
    <w:p w14:paraId="4D02F7F3" w14:textId="77777777" w:rsidR="0036285F" w:rsidRDefault="0036285F"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25047"/>
    <w:rsid w:val="000264DC"/>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3E7"/>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95"/>
    <w:rsid w:val="002632E1"/>
    <w:rsid w:val="0027131D"/>
    <w:rsid w:val="002721A9"/>
    <w:rsid w:val="0028114B"/>
    <w:rsid w:val="00283902"/>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14E32"/>
    <w:rsid w:val="00316460"/>
    <w:rsid w:val="00332808"/>
    <w:rsid w:val="00335E04"/>
    <w:rsid w:val="003365E5"/>
    <w:rsid w:val="00342263"/>
    <w:rsid w:val="00343AC0"/>
    <w:rsid w:val="00347509"/>
    <w:rsid w:val="0036285F"/>
    <w:rsid w:val="00375288"/>
    <w:rsid w:val="003810F2"/>
    <w:rsid w:val="00383D74"/>
    <w:rsid w:val="00384749"/>
    <w:rsid w:val="003911E7"/>
    <w:rsid w:val="00393250"/>
    <w:rsid w:val="00397A34"/>
    <w:rsid w:val="003A528A"/>
    <w:rsid w:val="003B1339"/>
    <w:rsid w:val="003B1CFC"/>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5386"/>
    <w:rsid w:val="004A22A4"/>
    <w:rsid w:val="004A4E5B"/>
    <w:rsid w:val="004A5C00"/>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3090"/>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7E0E"/>
    <w:rsid w:val="008D07F0"/>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5A45"/>
    <w:rsid w:val="00946026"/>
    <w:rsid w:val="00952E88"/>
    <w:rsid w:val="009564F0"/>
    <w:rsid w:val="00965E7B"/>
    <w:rsid w:val="00976697"/>
    <w:rsid w:val="00981530"/>
    <w:rsid w:val="009817CF"/>
    <w:rsid w:val="00992848"/>
    <w:rsid w:val="009929FD"/>
    <w:rsid w:val="00993551"/>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2ED2"/>
    <w:rsid w:val="00C14778"/>
    <w:rsid w:val="00C15624"/>
    <w:rsid w:val="00C20489"/>
    <w:rsid w:val="00C246BA"/>
    <w:rsid w:val="00C345D6"/>
    <w:rsid w:val="00C347B8"/>
    <w:rsid w:val="00C369C2"/>
    <w:rsid w:val="00C40448"/>
    <w:rsid w:val="00C42321"/>
    <w:rsid w:val="00C429F2"/>
    <w:rsid w:val="00C50C16"/>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182B"/>
    <w:rsid w:val="00CC6A29"/>
    <w:rsid w:val="00CC6D76"/>
    <w:rsid w:val="00CD123E"/>
    <w:rsid w:val="00CD3E47"/>
    <w:rsid w:val="00CD5BEA"/>
    <w:rsid w:val="00CD6B2D"/>
    <w:rsid w:val="00CD746E"/>
    <w:rsid w:val="00CD7B52"/>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2CDF"/>
    <w:rsid w:val="00DD724E"/>
    <w:rsid w:val="00DE7007"/>
    <w:rsid w:val="00DF6AE6"/>
    <w:rsid w:val="00E07916"/>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003"/>
    <w:rsid w:val="00E91DAC"/>
    <w:rsid w:val="00EA6E94"/>
    <w:rsid w:val="00EB1E47"/>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FD2"/>
    <w:rsid w:val="00F47BC7"/>
    <w:rsid w:val="00F53F3A"/>
    <w:rsid w:val="00F619DA"/>
    <w:rsid w:val="00F6730B"/>
    <w:rsid w:val="00F7083B"/>
    <w:rsid w:val="00F74848"/>
    <w:rsid w:val="00F942B5"/>
    <w:rsid w:val="00FA2F01"/>
    <w:rsid w:val="00FA3043"/>
    <w:rsid w:val="00FA4D02"/>
    <w:rsid w:val="00FD4F94"/>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816841" TargetMode="External"/><Relationship Id="rId13" Type="http://schemas.openxmlformats.org/officeDocument/2006/relationships/hyperlink" Target="http://www.w3.org/TR/WCAG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mailto:edad@microsoft.com?subject=WCAG%20report" TargetMode="External"/><Relationship Id="rId4" Type="http://schemas.openxmlformats.org/officeDocument/2006/relationships/settings" Target="settings.xml"/><Relationship Id="rId9" Type="http://schemas.openxmlformats.org/officeDocument/2006/relationships/hyperlink" Target="https://support.microsoft.com/accessibility/enterprise-answer-desk" TargetMode="External"/><Relationship Id="rId14"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2627</Words>
  <Characters>14976</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2016-11-16T00:47:00Z</dcterms:created>
  <dcterms:modified xsi:type="dcterms:W3CDTF">2016-11-16T00:48:00Z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