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8FBA3" w14:textId="77777777" w:rsidR="000F5125" w:rsidRPr="006501E1" w:rsidRDefault="00BE1449" w:rsidP="002F43F4">
      <w:pPr>
        <w:sectPr w:rsidR="000F5125" w:rsidRPr="006501E1" w:rsidSect="00290548">
          <w:headerReference w:type="default" r:id="rId14"/>
          <w:headerReference w:type="first" r:id="rId15"/>
          <w:footerReference w:type="first" r:id="rId16"/>
          <w:type w:val="continuous"/>
          <w:pgSz w:w="12240" w:h="15840" w:code="1"/>
          <w:pgMar w:top="1440" w:right="1080" w:bottom="1440" w:left="1080" w:header="1008" w:footer="432" w:gutter="0"/>
          <w:cols w:num="3" w:space="270"/>
          <w:docGrid w:linePitch="360"/>
        </w:sectPr>
      </w:pPr>
      <w:r>
        <w:rPr>
          <w:noProof/>
        </w:rPr>
        <w:drawing>
          <wp:anchor distT="0" distB="457200" distL="114300" distR="114300" simplePos="0" relativeHeight="251745280" behindDoc="1" locked="0" layoutInCell="1" allowOverlap="1" wp14:anchorId="0450874E" wp14:editId="0450874F">
            <wp:simplePos x="0" y="0"/>
            <wp:positionH relativeFrom="column">
              <wp:posOffset>-533400</wp:posOffset>
            </wp:positionH>
            <wp:positionV relativeFrom="paragraph">
              <wp:posOffset>-762000</wp:posOffset>
            </wp:positionV>
            <wp:extent cx="7785100" cy="3217545"/>
            <wp:effectExtent l="0" t="0" r="6350" b="1905"/>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jpg"/>
                    <pic:cNvPicPr/>
                  </pic:nvPicPr>
                  <pic:blipFill>
                    <a:blip r:embed="rId17">
                      <a:extLst>
                        <a:ext uri="{28A0092B-C50C-407E-A947-70E740481C1C}">
                          <a14:useLocalDpi xmlns:a14="http://schemas.microsoft.com/office/drawing/2010/main" val="0"/>
                        </a:ext>
                      </a:extLst>
                    </a:blip>
                    <a:stretch>
                      <a:fillRect/>
                    </a:stretch>
                  </pic:blipFill>
                  <pic:spPr>
                    <a:xfrm>
                      <a:off x="0" y="0"/>
                      <a:ext cx="7785100" cy="3217545"/>
                    </a:xfrm>
                    <a:prstGeom prst="rect">
                      <a:avLst/>
                    </a:prstGeom>
                  </pic:spPr>
                </pic:pic>
              </a:graphicData>
            </a:graphic>
          </wp:anchor>
        </w:drawing>
      </w:r>
    </w:p>
    <w:p w14:paraId="016A7E60" w14:textId="7D9B2309" w:rsidR="001B1AA1" w:rsidRPr="001C3A3A" w:rsidRDefault="001B1AA1" w:rsidP="00C74BE9">
      <w:pPr>
        <w:jc w:val="center"/>
        <w:rPr>
          <w:rFonts w:ascii="Segoe Condensed" w:hAnsi="Segoe Condensed" w:cstheme="majorHAnsi"/>
          <w:b/>
          <w:sz w:val="56"/>
          <w:szCs w:val="60"/>
        </w:rPr>
      </w:pPr>
      <w:r w:rsidRPr="001C3A3A">
        <w:rPr>
          <w:rFonts w:ascii="Segoe Condensed" w:hAnsi="Segoe Condensed" w:cstheme="majorHAnsi"/>
          <w:b/>
          <w:sz w:val="56"/>
          <w:szCs w:val="60"/>
        </w:rPr>
        <w:t>SQL Server 2012 Licensing Datasheet</w:t>
      </w:r>
      <w:r w:rsidR="001C3A3A" w:rsidRPr="001C3A3A">
        <w:rPr>
          <w:rFonts w:ascii="Segoe Condensed" w:hAnsi="Segoe Condensed" w:cstheme="majorHAnsi"/>
          <w:b/>
          <w:sz w:val="56"/>
          <w:szCs w:val="60"/>
        </w:rPr>
        <w:t xml:space="preserve"> &amp; FAQ</w:t>
      </w:r>
    </w:p>
    <w:p w14:paraId="6D7EDA66" w14:textId="5E542186" w:rsidR="001B1AA1" w:rsidRPr="00C74BE9" w:rsidRDefault="001B1AA1" w:rsidP="00C74BE9">
      <w:pPr>
        <w:spacing w:after="200" w:line="276" w:lineRule="auto"/>
        <w:jc w:val="center"/>
        <w:rPr>
          <w:rFonts w:ascii="Segoe Condensed" w:hAnsi="Segoe Condensed" w:cstheme="minorHAnsi"/>
          <w:b/>
          <w:color w:val="262626" w:themeColor="text1" w:themeTint="D9"/>
          <w:sz w:val="28"/>
        </w:rPr>
      </w:pPr>
      <w:r w:rsidRPr="00C74BE9">
        <w:rPr>
          <w:rFonts w:ascii="Segoe Condensed" w:hAnsi="Segoe Condensed" w:cstheme="minorHAnsi"/>
          <w:b/>
          <w:color w:val="262626" w:themeColor="text1" w:themeTint="D9"/>
          <w:sz w:val="28"/>
        </w:rPr>
        <w:t xml:space="preserve">Published: </w:t>
      </w:r>
      <w:r w:rsidR="00A93CAC">
        <w:rPr>
          <w:rFonts w:ascii="Segoe Condensed" w:hAnsi="Segoe Condensed" w:cstheme="minorHAnsi"/>
          <w:color w:val="262626" w:themeColor="text1" w:themeTint="D9"/>
          <w:sz w:val="28"/>
        </w:rPr>
        <w:t>March 7, 2012</w:t>
      </w:r>
    </w:p>
    <w:p w14:paraId="368D7DBB" w14:textId="77777777" w:rsidR="00C32776" w:rsidRDefault="00C32776" w:rsidP="00FB517A">
      <w:pPr>
        <w:rPr>
          <w:rFonts w:cstheme="minorHAnsi"/>
          <w:color w:val="262626" w:themeColor="text1" w:themeTint="D9"/>
          <w:sz w:val="22"/>
        </w:rPr>
      </w:pPr>
    </w:p>
    <w:p w14:paraId="6D1D4BEB" w14:textId="77777777" w:rsidR="00641DDC" w:rsidRDefault="00641DDC" w:rsidP="00FB517A">
      <w:pPr>
        <w:sectPr w:rsidR="00641DDC" w:rsidSect="002E6DF1">
          <w:type w:val="continuous"/>
          <w:pgSz w:w="12240" w:h="15840" w:code="1"/>
          <w:pgMar w:top="1440" w:right="630" w:bottom="1440" w:left="720" w:header="1008" w:footer="432" w:gutter="0"/>
          <w:cols w:space="274"/>
          <w:docGrid w:linePitch="360"/>
        </w:sectPr>
      </w:pPr>
    </w:p>
    <w:p w14:paraId="17F6602C" w14:textId="77777777" w:rsidR="006E708F" w:rsidRPr="00DB56A7" w:rsidRDefault="00BE1449" w:rsidP="002F57AC">
      <w:pPr>
        <w:pStyle w:val="Heading1"/>
      </w:pPr>
      <w:r w:rsidRPr="00DB56A7">
        <w:lastRenderedPageBreak/>
        <w:t>Product Overview</w:t>
      </w:r>
    </w:p>
    <w:p w14:paraId="61D43DBE" w14:textId="77777777" w:rsidR="00BE1449" w:rsidRPr="00F82BA9" w:rsidRDefault="00BE1449" w:rsidP="00F82BA9">
      <w:pPr>
        <w:pStyle w:val="Body"/>
      </w:pPr>
      <w:r w:rsidRPr="00F82BA9">
        <w:rPr>
          <w:b/>
        </w:rPr>
        <w:t>SQL Server 2012</w:t>
      </w:r>
      <w:r w:rsidRPr="00F82BA9">
        <w:t xml:space="preserve"> is a significant product release, providing </w:t>
      </w:r>
      <w:r w:rsidRPr="00F82BA9">
        <w:rPr>
          <w:b/>
        </w:rPr>
        <w:t>Mission Critical Confidence</w:t>
      </w:r>
      <w:r w:rsidRPr="00F82BA9">
        <w:t xml:space="preserve"> with greater uptime, blazing-fast performance and enhanced security features for mission critical workloads; </w:t>
      </w:r>
      <w:r w:rsidRPr="00F82BA9">
        <w:rPr>
          <w:b/>
        </w:rPr>
        <w:t>Breakthrough Insight</w:t>
      </w:r>
      <w:r w:rsidRPr="00F82BA9">
        <w:t xml:space="preserve"> with managed self-service data exploration and stunning</w:t>
      </w:r>
      <w:r w:rsidR="00EC7B62" w:rsidRPr="00F82BA9">
        <w:t xml:space="preserve"> interactive data visualization</w:t>
      </w:r>
      <w:r w:rsidRPr="00F82BA9">
        <w:t xml:space="preserve"> capabilities; </w:t>
      </w:r>
      <w:r w:rsidRPr="00F82BA9">
        <w:rPr>
          <w:b/>
        </w:rPr>
        <w:t>Cloud On Your Terms</w:t>
      </w:r>
      <w:r w:rsidRPr="00F82BA9">
        <w:t xml:space="preserve"> by enabling the creation and extension of solutions across on-premises and public cloud.  SQL Server 2012 is a </w:t>
      </w:r>
      <w:r w:rsidRPr="00F82BA9">
        <w:rPr>
          <w:i/>
        </w:rPr>
        <w:t>Cloud Ready Information Platform</w:t>
      </w:r>
      <w:r w:rsidRPr="00F82BA9">
        <w:t>.</w:t>
      </w:r>
    </w:p>
    <w:p w14:paraId="26517FFC" w14:textId="77777777" w:rsidR="00BE1449" w:rsidRPr="002E1B1C" w:rsidRDefault="00BE1449" w:rsidP="002F57AC">
      <w:pPr>
        <w:pStyle w:val="Heading1"/>
      </w:pPr>
      <w:r w:rsidRPr="002E1B1C">
        <w:t xml:space="preserve">Editions </w:t>
      </w:r>
      <w:r w:rsidR="00491447">
        <w:t>o</w:t>
      </w:r>
      <w:r w:rsidRPr="002E1B1C">
        <w:t>verview</w:t>
      </w:r>
    </w:p>
    <w:p w14:paraId="1FA7B7D9" w14:textId="77777777" w:rsidR="002C11EE" w:rsidRPr="00F82BA9" w:rsidRDefault="00E77022" w:rsidP="00F82BA9">
      <w:pPr>
        <w:pStyle w:val="Body"/>
      </w:pPr>
      <w:r w:rsidRPr="00F82BA9">
        <w:t xml:space="preserve">The SQL Server 2012 Editions have been streamlined to better align with how customers are deploying applications and solutions.  </w:t>
      </w:r>
      <w:r w:rsidR="002C11EE" w:rsidRPr="00F82BA9">
        <w:t xml:space="preserve">SQL Server 2012 will be released </w:t>
      </w:r>
      <w:r w:rsidR="00BF6DF9" w:rsidRPr="00F82BA9">
        <w:t xml:space="preserve">in </w:t>
      </w:r>
      <w:r w:rsidR="007E1B4F" w:rsidRPr="00F82BA9">
        <w:t>3</w:t>
      </w:r>
      <w:r w:rsidR="00BF6DF9" w:rsidRPr="00F82BA9">
        <w:t xml:space="preserve"> </w:t>
      </w:r>
      <w:r w:rsidR="002C11EE" w:rsidRPr="00F82BA9">
        <w:t>main editions</w:t>
      </w:r>
      <w:r w:rsidRPr="00F82BA9">
        <w:t>*</w:t>
      </w:r>
      <w:r w:rsidR="002C11EE" w:rsidRPr="00F82BA9">
        <w:t xml:space="preserve">: </w:t>
      </w:r>
    </w:p>
    <w:p w14:paraId="0044B662" w14:textId="77777777" w:rsidR="00313F11" w:rsidRPr="00F82BA9" w:rsidRDefault="00313F11" w:rsidP="00F82BA9">
      <w:pPr>
        <w:pStyle w:val="VLBodyBullet"/>
      </w:pPr>
      <w:r w:rsidRPr="00F82BA9">
        <w:rPr>
          <w:rFonts w:hint="eastAsia"/>
          <w:b/>
        </w:rPr>
        <w:lastRenderedPageBreak/>
        <w:t xml:space="preserve">Enterprise </w:t>
      </w:r>
      <w:r w:rsidRPr="005D29D8">
        <w:rPr>
          <w:rFonts w:hint="eastAsia"/>
        </w:rPr>
        <w:t>for mission</w:t>
      </w:r>
      <w:r w:rsidRPr="00F82BA9">
        <w:rPr>
          <w:rFonts w:hint="eastAsia"/>
        </w:rPr>
        <w:t xml:space="preserve"> critical applications and </w:t>
      </w:r>
      <w:r w:rsidR="00BF6DF9" w:rsidRPr="00F82BA9">
        <w:t xml:space="preserve">large scale </w:t>
      </w:r>
      <w:r w:rsidRPr="00F82BA9">
        <w:rPr>
          <w:rFonts w:hint="eastAsia"/>
        </w:rPr>
        <w:t>data warehousing</w:t>
      </w:r>
    </w:p>
    <w:p w14:paraId="67158A11" w14:textId="77777777" w:rsidR="00313F11" w:rsidRPr="00F82BA9" w:rsidRDefault="00313F11" w:rsidP="00F82BA9">
      <w:pPr>
        <w:pStyle w:val="VLBodyBullet"/>
      </w:pPr>
      <w:r w:rsidRPr="00F82BA9">
        <w:rPr>
          <w:rFonts w:hint="eastAsia"/>
          <w:b/>
        </w:rPr>
        <w:t>Business Intelligence</w:t>
      </w:r>
      <w:r w:rsidR="00E77022" w:rsidRPr="00F82BA9">
        <w:t>, a new</w:t>
      </w:r>
      <w:r w:rsidRPr="00F82BA9">
        <w:rPr>
          <w:rFonts w:hint="eastAsia"/>
        </w:rPr>
        <w:t xml:space="preserve"> product edition</w:t>
      </w:r>
      <w:r w:rsidR="00E77022" w:rsidRPr="00F82BA9">
        <w:t>,</w:t>
      </w:r>
      <w:r w:rsidRPr="00F82BA9">
        <w:rPr>
          <w:rFonts w:hint="eastAsia"/>
        </w:rPr>
        <w:t xml:space="preserve"> providing premium corporate and self-service </w:t>
      </w:r>
      <w:r w:rsidR="00E77022" w:rsidRPr="00F82BA9">
        <w:t>BI</w:t>
      </w:r>
      <w:r w:rsidRPr="00F82BA9">
        <w:rPr>
          <w:rFonts w:hint="eastAsia"/>
        </w:rPr>
        <w:t xml:space="preserve"> </w:t>
      </w:r>
    </w:p>
    <w:p w14:paraId="405E9E6C" w14:textId="77777777" w:rsidR="00313F11" w:rsidRPr="00F82BA9" w:rsidRDefault="00313F11" w:rsidP="00F82BA9">
      <w:pPr>
        <w:pStyle w:val="VLBodyBullet"/>
      </w:pPr>
      <w:r w:rsidRPr="00F82BA9">
        <w:rPr>
          <w:rFonts w:hint="eastAsia"/>
          <w:b/>
        </w:rPr>
        <w:t>Standard</w:t>
      </w:r>
      <w:r w:rsidRPr="00F82BA9">
        <w:rPr>
          <w:rFonts w:hint="eastAsia"/>
        </w:rPr>
        <w:t xml:space="preserve"> for basic database, reporting and analytics</w:t>
      </w:r>
      <w:r w:rsidR="00BF6DF9" w:rsidRPr="00F82BA9">
        <w:rPr>
          <w:rFonts w:hint="eastAsia"/>
        </w:rPr>
        <w:t xml:space="preserve"> capabilities</w:t>
      </w:r>
    </w:p>
    <w:p w14:paraId="08F05AD9" w14:textId="77777777" w:rsidR="00E77022" w:rsidRPr="00F82BA9" w:rsidRDefault="00313F11" w:rsidP="00F82BA9">
      <w:pPr>
        <w:pStyle w:val="Body"/>
      </w:pPr>
      <w:r w:rsidRPr="00F82BA9">
        <w:t xml:space="preserve">The </w:t>
      </w:r>
      <w:r w:rsidR="002E6DF1" w:rsidRPr="00F82BA9">
        <w:t xml:space="preserve">main editions </w:t>
      </w:r>
      <w:r w:rsidR="00E77022" w:rsidRPr="00F82BA9">
        <w:t xml:space="preserve">are now </w:t>
      </w:r>
      <w:r w:rsidR="00F402BC" w:rsidRPr="00F82BA9">
        <w:t>offered</w:t>
      </w:r>
      <w:r w:rsidR="00E77022" w:rsidRPr="00F82BA9">
        <w:t xml:space="preserve"> </w:t>
      </w:r>
      <w:r w:rsidR="00F402BC" w:rsidRPr="00F82BA9">
        <w:t>in</w:t>
      </w:r>
      <w:r w:rsidR="00E77022" w:rsidRPr="00F82BA9">
        <w:t xml:space="preserve"> a consistent</w:t>
      </w:r>
      <w:r w:rsidR="00DD5B3B" w:rsidRPr="00F82BA9">
        <w:t>,</w:t>
      </w:r>
      <w:r w:rsidR="002E6DF1" w:rsidRPr="00F82BA9">
        <w:t xml:space="preserve"> tiered model</w:t>
      </w:r>
      <w:r w:rsidR="00DD5B3B" w:rsidRPr="00F82BA9">
        <w:t xml:space="preserve"> which</w:t>
      </w:r>
      <w:r w:rsidR="00E77022" w:rsidRPr="00F82BA9">
        <w:t xml:space="preserve"> creat</w:t>
      </w:r>
      <w:r w:rsidR="00DD5B3B" w:rsidRPr="00F82BA9">
        <w:t>es</w:t>
      </w:r>
      <w:r w:rsidR="00E77022" w:rsidRPr="00F82BA9">
        <w:t xml:space="preserve"> greater consistency </w:t>
      </w:r>
      <w:r w:rsidR="002E7D44" w:rsidRPr="00F82BA9">
        <w:t>across</w:t>
      </w:r>
      <w:r w:rsidR="00E77022" w:rsidRPr="00F82BA9">
        <w:t xml:space="preserve"> </w:t>
      </w:r>
      <w:r w:rsidR="000775F1" w:rsidRPr="00F82BA9">
        <w:t>editions, features</w:t>
      </w:r>
      <w:r w:rsidR="00E77022" w:rsidRPr="00F82BA9">
        <w:t xml:space="preserve"> and licensing</w:t>
      </w:r>
      <w:r w:rsidR="002E6DF1" w:rsidRPr="00F82BA9">
        <w:t xml:space="preserve">. </w:t>
      </w:r>
      <w:r w:rsidR="00E77022" w:rsidRPr="00F82BA9">
        <w:t xml:space="preserve">Enterprise Edition will include </w:t>
      </w:r>
      <w:r w:rsidR="00B3000D" w:rsidRPr="00F82BA9">
        <w:t>all features available in SQL Server 2012</w:t>
      </w:r>
      <w:r w:rsidR="00E77022" w:rsidRPr="00F82BA9">
        <w:t xml:space="preserve">.  The Business Intelligence Edition will </w:t>
      </w:r>
      <w:r w:rsidR="00DD5B3B" w:rsidRPr="00F82BA9">
        <w:t xml:space="preserve">include premium BI features as well </w:t>
      </w:r>
      <w:r w:rsidR="00EC7B62" w:rsidRPr="00F82BA9">
        <w:t xml:space="preserve">as </w:t>
      </w:r>
      <w:r w:rsidR="00DD5B3B" w:rsidRPr="00F82BA9">
        <w:t xml:space="preserve">all of the </w:t>
      </w:r>
      <w:r w:rsidR="005D29D8">
        <w:t>S</w:t>
      </w:r>
      <w:r w:rsidR="00DD5B3B" w:rsidRPr="00F82BA9">
        <w:t xml:space="preserve">tandard </w:t>
      </w:r>
      <w:r w:rsidR="005D29D8">
        <w:t>E</w:t>
      </w:r>
      <w:r w:rsidR="00DD5B3B" w:rsidRPr="00F82BA9">
        <w:t>dition features</w:t>
      </w:r>
      <w:r w:rsidR="00E77022" w:rsidRPr="00F82BA9">
        <w:t>.</w:t>
      </w:r>
      <w:r w:rsidR="00E77022" w:rsidRPr="00F82BA9" w:rsidDel="00E77022">
        <w:t xml:space="preserve"> </w:t>
      </w:r>
    </w:p>
    <w:p w14:paraId="07D9E07F" w14:textId="77777777" w:rsidR="00BE1449" w:rsidRPr="00641DDC" w:rsidRDefault="00E77022" w:rsidP="00C32776">
      <w:pPr>
        <w:pStyle w:val="Notes"/>
        <w:rPr>
          <w:color w:val="404040" w:themeColor="text1" w:themeTint="BF"/>
          <w:sz w:val="16"/>
          <w:szCs w:val="16"/>
        </w:rPr>
      </w:pPr>
      <w:r w:rsidRPr="00641DDC">
        <w:rPr>
          <w:color w:val="404040" w:themeColor="text1" w:themeTint="BF"/>
          <w:sz w:val="16"/>
          <w:szCs w:val="16"/>
        </w:rPr>
        <w:t>*</w:t>
      </w:r>
      <w:r w:rsidR="002E6DF1" w:rsidRPr="00641DDC">
        <w:rPr>
          <w:color w:val="404040" w:themeColor="text1" w:themeTint="BF"/>
          <w:sz w:val="16"/>
          <w:szCs w:val="16"/>
        </w:rPr>
        <w:t xml:space="preserve">Note: SQL Server 2012 will continue to be available in Developer, Express and Compact editions. Web Edition will be offered in a Services Provider </w:t>
      </w:r>
      <w:r w:rsidR="002E6DF1" w:rsidRPr="00641DDC">
        <w:rPr>
          <w:rStyle w:val="Strong"/>
          <w:b w:val="0"/>
          <w:color w:val="404040" w:themeColor="text1" w:themeTint="BF"/>
          <w:sz w:val="16"/>
          <w:szCs w:val="16"/>
        </w:rPr>
        <w:t>License</w:t>
      </w:r>
      <w:r w:rsidR="002E6DF1" w:rsidRPr="00641DDC">
        <w:rPr>
          <w:b/>
          <w:color w:val="404040" w:themeColor="text1" w:themeTint="BF"/>
          <w:sz w:val="16"/>
          <w:szCs w:val="16"/>
        </w:rPr>
        <w:t xml:space="preserve"> </w:t>
      </w:r>
      <w:r w:rsidR="002E6DF1" w:rsidRPr="00641DDC">
        <w:rPr>
          <w:color w:val="404040" w:themeColor="text1" w:themeTint="BF"/>
          <w:sz w:val="16"/>
          <w:szCs w:val="16"/>
        </w:rPr>
        <w:t xml:space="preserve">Agreement (SPLA) model only. Datacenter Edition is being retired with all capabilities now available in Enterprise. Workgroup and Small business Editions are also being retired. </w:t>
      </w:r>
    </w:p>
    <w:p w14:paraId="4C861B50" w14:textId="77777777" w:rsidR="00290548" w:rsidRPr="00DB56A7" w:rsidRDefault="00C25ED6" w:rsidP="002F57AC">
      <w:pPr>
        <w:pStyle w:val="Heading1"/>
      </w:pPr>
      <w:r w:rsidRPr="00DB56A7">
        <w:lastRenderedPageBreak/>
        <w:t>SQL Server 201</w:t>
      </w:r>
      <w:r w:rsidR="00766271" w:rsidRPr="00DB56A7">
        <w:t>2 Licensing Options</w:t>
      </w:r>
    </w:p>
    <w:p w14:paraId="4FD2A839" w14:textId="77777777" w:rsidR="007F02E2" w:rsidRPr="00F82BA9" w:rsidRDefault="00974354" w:rsidP="00F82BA9">
      <w:pPr>
        <w:pStyle w:val="Body"/>
        <w:rPr>
          <w:lang w:eastAsia="ko-KR"/>
        </w:rPr>
      </w:pPr>
      <w:r w:rsidRPr="00F82BA9">
        <w:rPr>
          <w:lang w:eastAsia="ko-KR"/>
        </w:rPr>
        <w:t>SQL Server 2012 will continue to offer two licensing options – one based on computing power, and one based on user</w:t>
      </w:r>
      <w:r w:rsidR="00A21B78" w:rsidRPr="00F82BA9">
        <w:rPr>
          <w:lang w:eastAsia="ko-KR"/>
        </w:rPr>
        <w:t xml:space="preserve">s or </w:t>
      </w:r>
      <w:r w:rsidRPr="00F82BA9">
        <w:rPr>
          <w:lang w:eastAsia="ko-KR"/>
        </w:rPr>
        <w:t>device</w:t>
      </w:r>
      <w:r w:rsidR="00A21B78" w:rsidRPr="00F82BA9">
        <w:rPr>
          <w:lang w:eastAsia="ko-KR"/>
        </w:rPr>
        <w:t>s</w:t>
      </w:r>
      <w:r w:rsidRPr="00F82BA9">
        <w:rPr>
          <w:lang w:eastAsia="ko-KR"/>
        </w:rPr>
        <w:t>.  In the computing power-based license model, however, the way we measure power</w:t>
      </w:r>
      <w:r w:rsidR="007F02E2" w:rsidRPr="00F82BA9">
        <w:rPr>
          <w:lang w:eastAsia="ko-KR"/>
        </w:rPr>
        <w:t xml:space="preserve"> will shift from processors to cores</w:t>
      </w:r>
      <w:r w:rsidRPr="00F82BA9">
        <w:rPr>
          <w:lang w:eastAsia="ko-KR"/>
        </w:rPr>
        <w:t>.  Core-based licensing provides</w:t>
      </w:r>
      <w:r w:rsidR="007F02E2" w:rsidRPr="00F82BA9">
        <w:rPr>
          <w:lang w:eastAsia="ko-KR"/>
        </w:rPr>
        <w:t xml:space="preserve"> a more precise measure of </w:t>
      </w:r>
      <w:r w:rsidRPr="00F82BA9">
        <w:rPr>
          <w:lang w:eastAsia="ko-KR"/>
        </w:rPr>
        <w:t>computing</w:t>
      </w:r>
      <w:r w:rsidR="007F02E2" w:rsidRPr="00F82BA9">
        <w:rPr>
          <w:lang w:eastAsia="ko-KR"/>
        </w:rPr>
        <w:t xml:space="preserve"> power </w:t>
      </w:r>
      <w:r w:rsidR="00983FBA">
        <w:rPr>
          <w:lang w:eastAsia="ko-KR"/>
        </w:rPr>
        <w:t>and</w:t>
      </w:r>
      <w:r w:rsidR="007F02E2" w:rsidRPr="00F82BA9">
        <w:rPr>
          <w:lang w:eastAsia="ko-KR"/>
        </w:rPr>
        <w:t xml:space="preserve"> a more consistent licens</w:t>
      </w:r>
      <w:r w:rsidR="002A49D2" w:rsidRPr="00F82BA9">
        <w:rPr>
          <w:lang w:eastAsia="ko-KR"/>
        </w:rPr>
        <w:t>ing</w:t>
      </w:r>
      <w:r w:rsidR="007F02E2" w:rsidRPr="00F82BA9">
        <w:rPr>
          <w:lang w:eastAsia="ko-KR"/>
        </w:rPr>
        <w:t xml:space="preserve"> metric regardless of where the solution is</w:t>
      </w:r>
      <w:r w:rsidR="00983FBA">
        <w:rPr>
          <w:lang w:eastAsia="ko-KR"/>
        </w:rPr>
        <w:t xml:space="preserve"> deployed across on-premises, virtual and cloud scenarios.</w:t>
      </w:r>
    </w:p>
    <w:p w14:paraId="5F8C7C94" w14:textId="77777777" w:rsidR="00962B82" w:rsidRPr="00F82BA9" w:rsidRDefault="00962B82" w:rsidP="00F82BA9">
      <w:pPr>
        <w:pStyle w:val="VLBodyBullet"/>
        <w:rPr>
          <w:lang w:eastAsia="ko-KR"/>
        </w:rPr>
      </w:pPr>
      <w:r w:rsidRPr="00F82BA9">
        <w:rPr>
          <w:b/>
          <w:lang w:eastAsia="ko-KR"/>
        </w:rPr>
        <w:t xml:space="preserve">Enterprise Edition </w:t>
      </w:r>
      <w:r w:rsidR="00974354" w:rsidRPr="00F82BA9">
        <w:rPr>
          <w:b/>
          <w:lang w:eastAsia="ko-KR"/>
        </w:rPr>
        <w:t xml:space="preserve">(EE) </w:t>
      </w:r>
      <w:r w:rsidRPr="00F82BA9">
        <w:rPr>
          <w:lang w:eastAsia="ko-KR"/>
        </w:rPr>
        <w:t xml:space="preserve">will be licensed based on </w:t>
      </w:r>
      <w:r w:rsidR="007F02E2" w:rsidRPr="00F82BA9">
        <w:rPr>
          <w:lang w:eastAsia="ko-KR"/>
        </w:rPr>
        <w:t>compute capacity</w:t>
      </w:r>
      <w:r w:rsidRPr="00F82BA9">
        <w:rPr>
          <w:lang w:eastAsia="ko-KR"/>
        </w:rPr>
        <w:t xml:space="preserve"> measured in </w:t>
      </w:r>
      <w:r w:rsidR="002A49D2" w:rsidRPr="00F82BA9">
        <w:rPr>
          <w:lang w:eastAsia="ko-KR"/>
        </w:rPr>
        <w:t>c</w:t>
      </w:r>
      <w:r w:rsidRPr="00F82BA9">
        <w:rPr>
          <w:lang w:eastAsia="ko-KR"/>
        </w:rPr>
        <w:t>ores</w:t>
      </w:r>
    </w:p>
    <w:p w14:paraId="2B942CDB" w14:textId="77777777" w:rsidR="00962B82" w:rsidRPr="00F82BA9" w:rsidRDefault="00962B82" w:rsidP="00F82BA9">
      <w:pPr>
        <w:pStyle w:val="VLBodyBullet"/>
        <w:rPr>
          <w:lang w:eastAsia="ko-KR"/>
        </w:rPr>
      </w:pPr>
      <w:r w:rsidRPr="00F82BA9">
        <w:rPr>
          <w:b/>
          <w:lang w:eastAsia="ko-KR"/>
        </w:rPr>
        <w:t xml:space="preserve">Business Intelligence </w:t>
      </w:r>
      <w:r w:rsidR="00974354" w:rsidRPr="00F82BA9">
        <w:rPr>
          <w:b/>
          <w:lang w:eastAsia="ko-KR"/>
        </w:rPr>
        <w:t xml:space="preserve">(BI) </w:t>
      </w:r>
      <w:r w:rsidRPr="00F82BA9">
        <w:rPr>
          <w:b/>
          <w:lang w:eastAsia="ko-KR"/>
        </w:rPr>
        <w:t>Edition</w:t>
      </w:r>
      <w:r w:rsidRPr="00F82BA9">
        <w:rPr>
          <w:lang w:eastAsia="ko-KR"/>
        </w:rPr>
        <w:t xml:space="preserve"> </w:t>
      </w:r>
      <w:r w:rsidR="007F02E2" w:rsidRPr="00F82BA9">
        <w:rPr>
          <w:lang w:eastAsia="ko-KR"/>
        </w:rPr>
        <w:t>will b</w:t>
      </w:r>
      <w:r w:rsidR="000775F1" w:rsidRPr="00F82BA9">
        <w:rPr>
          <w:lang w:eastAsia="ko-KR"/>
        </w:rPr>
        <w:t xml:space="preserve">e available </w:t>
      </w:r>
      <w:r w:rsidR="002A49D2" w:rsidRPr="00F82BA9">
        <w:rPr>
          <w:lang w:eastAsia="ko-KR"/>
        </w:rPr>
        <w:t xml:space="preserve">in the </w:t>
      </w:r>
      <w:r w:rsidR="00983FBA">
        <w:rPr>
          <w:lang w:eastAsia="ko-KR"/>
        </w:rPr>
        <w:t>Server + CAL model, based on users or devices</w:t>
      </w:r>
    </w:p>
    <w:p w14:paraId="6E89A765" w14:textId="77777777" w:rsidR="00962B82" w:rsidRPr="00F82BA9" w:rsidRDefault="00962B82" w:rsidP="00F82BA9">
      <w:pPr>
        <w:pStyle w:val="VLBodyBullet"/>
        <w:rPr>
          <w:lang w:eastAsia="ko-KR"/>
        </w:rPr>
      </w:pPr>
      <w:r w:rsidRPr="00F82BA9">
        <w:rPr>
          <w:b/>
          <w:lang w:eastAsia="ko-KR"/>
        </w:rPr>
        <w:t>Standard Edition</w:t>
      </w:r>
      <w:r w:rsidRPr="00F82BA9">
        <w:rPr>
          <w:lang w:eastAsia="ko-KR"/>
        </w:rPr>
        <w:t xml:space="preserve"> </w:t>
      </w:r>
      <w:r w:rsidR="00974354" w:rsidRPr="00F82BA9">
        <w:rPr>
          <w:b/>
          <w:lang w:eastAsia="ko-KR"/>
        </w:rPr>
        <w:t>(SE)</w:t>
      </w:r>
      <w:r w:rsidR="00974354" w:rsidRPr="00F82BA9">
        <w:rPr>
          <w:lang w:eastAsia="ko-KR"/>
        </w:rPr>
        <w:t xml:space="preserve"> </w:t>
      </w:r>
      <w:r w:rsidR="00983FBA">
        <w:rPr>
          <w:lang w:eastAsia="ko-KR"/>
        </w:rPr>
        <w:t>offers</w:t>
      </w:r>
      <w:r w:rsidR="007F02E2" w:rsidRPr="00F82BA9">
        <w:rPr>
          <w:lang w:eastAsia="ko-KR"/>
        </w:rPr>
        <w:t xml:space="preserve"> both </w:t>
      </w:r>
      <w:r w:rsidR="001F3C52" w:rsidRPr="00F82BA9">
        <w:rPr>
          <w:lang w:eastAsia="ko-KR"/>
        </w:rPr>
        <w:t>licens</w:t>
      </w:r>
      <w:r w:rsidR="005D29D8">
        <w:rPr>
          <w:lang w:eastAsia="ko-KR"/>
        </w:rPr>
        <w:t>ing</w:t>
      </w:r>
      <w:r w:rsidR="001F3C52" w:rsidRPr="00F82BA9">
        <w:rPr>
          <w:lang w:eastAsia="ko-KR"/>
        </w:rPr>
        <w:t xml:space="preserve"> </w:t>
      </w:r>
      <w:r w:rsidRPr="00F82BA9">
        <w:rPr>
          <w:lang w:eastAsia="ko-KR"/>
        </w:rPr>
        <w:t xml:space="preserve">models to address </w:t>
      </w:r>
      <w:r w:rsidR="001F3C52" w:rsidRPr="00F82BA9">
        <w:rPr>
          <w:lang w:eastAsia="ko-KR"/>
        </w:rPr>
        <w:t>basic database workloads</w:t>
      </w:r>
    </w:p>
    <w:p w14:paraId="31E7C5BA" w14:textId="77777777" w:rsidR="00B34E5A" w:rsidRDefault="00B34E5A" w:rsidP="00F82BA9">
      <w:pPr>
        <w:pStyle w:val="VLBodyBullet"/>
        <w:numPr>
          <w:ilvl w:val="0"/>
          <w:numId w:val="0"/>
        </w:numPr>
        <w:rPr>
          <w:lang w:eastAsia="ko-KR"/>
        </w:rPr>
      </w:pPr>
    </w:p>
    <w:tbl>
      <w:tblPr>
        <w:tblStyle w:val="TableGrid"/>
        <w:tblW w:w="5490" w:type="dxa"/>
        <w:tblInd w:w="-212" w:type="dxa"/>
        <w:tblLayout w:type="fixed"/>
        <w:tblCellMar>
          <w:left w:w="14" w:type="dxa"/>
          <w:right w:w="14" w:type="dxa"/>
        </w:tblCellMar>
        <w:tblLook w:val="04A0" w:firstRow="1" w:lastRow="0" w:firstColumn="1" w:lastColumn="0" w:noHBand="0" w:noVBand="1"/>
      </w:tblPr>
      <w:tblGrid>
        <w:gridCol w:w="136"/>
        <w:gridCol w:w="810"/>
        <w:gridCol w:w="900"/>
        <w:gridCol w:w="1440"/>
        <w:gridCol w:w="540"/>
        <w:gridCol w:w="450"/>
        <w:gridCol w:w="1214"/>
      </w:tblGrid>
      <w:tr w:rsidR="00FB517A" w:rsidRPr="00C74BE9" w14:paraId="7FAFE8A8" w14:textId="77777777" w:rsidTr="006D60A4">
        <w:trPr>
          <w:trHeight w:val="214"/>
        </w:trPr>
        <w:tc>
          <w:tcPr>
            <w:tcW w:w="136" w:type="dxa"/>
            <w:vMerge w:val="restart"/>
            <w:tcBorders>
              <w:top w:val="nil"/>
              <w:left w:val="nil"/>
              <w:bottom w:val="single" w:sz="4" w:space="0" w:color="FFFFFF" w:themeColor="background1"/>
              <w:right w:val="single" w:sz="4" w:space="0" w:color="FFFFFF" w:themeColor="background1"/>
            </w:tcBorders>
            <w:shd w:val="clear" w:color="auto" w:fill="FFFFFF" w:themeFill="background1"/>
            <w:vAlign w:val="center"/>
          </w:tcPr>
          <w:p w14:paraId="23994A1D" w14:textId="77777777" w:rsidR="00962B82" w:rsidRPr="00C74BE9" w:rsidRDefault="00962B82" w:rsidP="00962B82">
            <w:pPr>
              <w:pStyle w:val="NoSpacing"/>
              <w:rPr>
                <w:rFonts w:asciiTheme="majorHAnsi" w:hAnsiTheme="majorHAnsi" w:cstheme="majorHAnsi"/>
                <w:b/>
                <w:bCs/>
                <w:color w:val="FFFFFF" w:themeColor="background1"/>
                <w:sz w:val="16"/>
                <w:szCs w:val="16"/>
              </w:rPr>
            </w:pPr>
          </w:p>
        </w:tc>
        <w:tc>
          <w:tcPr>
            <w:tcW w:w="1710" w:type="dxa"/>
            <w:gridSpan w:val="2"/>
            <w:vMerge w:val="restart"/>
            <w:tcBorders>
              <w:top w:val="nil"/>
              <w:left w:val="nil"/>
              <w:bottom w:val="single" w:sz="4" w:space="0" w:color="FFFFFF" w:themeColor="background1"/>
              <w:right w:val="single" w:sz="4" w:space="0" w:color="FFFFFF" w:themeColor="background1"/>
            </w:tcBorders>
            <w:shd w:val="clear" w:color="auto" w:fill="404040" w:themeFill="text1" w:themeFillTint="BF"/>
            <w:vAlign w:val="center"/>
          </w:tcPr>
          <w:p w14:paraId="4ABCF055" w14:textId="77777777" w:rsidR="00962B82" w:rsidRPr="00C74BE9" w:rsidRDefault="00962B82" w:rsidP="00962B82">
            <w:pPr>
              <w:pStyle w:val="NoSpacing"/>
              <w:ind w:left="122"/>
              <w:rPr>
                <w:rFonts w:asciiTheme="majorHAnsi" w:hAnsiTheme="majorHAnsi" w:cstheme="majorHAnsi"/>
                <w:b/>
                <w:bCs/>
                <w:color w:val="FFFFFF" w:themeColor="background1"/>
                <w:sz w:val="16"/>
                <w:szCs w:val="16"/>
              </w:rPr>
            </w:pPr>
            <w:r w:rsidRPr="00C74BE9">
              <w:rPr>
                <w:rFonts w:asciiTheme="majorHAnsi" w:hAnsiTheme="majorHAnsi" w:cstheme="majorHAnsi"/>
                <w:b/>
                <w:bCs/>
                <w:color w:val="FFFFFF" w:themeColor="background1"/>
                <w:sz w:val="16"/>
                <w:szCs w:val="16"/>
              </w:rPr>
              <w:t>SQL Server 2012 Editions</w:t>
            </w:r>
          </w:p>
        </w:tc>
        <w:tc>
          <w:tcPr>
            <w:tcW w:w="1440" w:type="dxa"/>
            <w:vMerge w:val="restart"/>
            <w:tcBorders>
              <w:top w:val="nil"/>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tcPr>
          <w:p w14:paraId="4D5CD6C1" w14:textId="77777777" w:rsidR="00962B82" w:rsidRPr="00C74BE9" w:rsidRDefault="00962B82" w:rsidP="00962B82">
            <w:pPr>
              <w:pStyle w:val="NoSpacing"/>
              <w:rPr>
                <w:rFonts w:asciiTheme="majorHAnsi" w:hAnsiTheme="majorHAnsi" w:cstheme="majorHAnsi"/>
                <w:b/>
                <w:bCs/>
                <w:color w:val="FFFFFF" w:themeColor="background1"/>
                <w:sz w:val="16"/>
                <w:szCs w:val="16"/>
              </w:rPr>
            </w:pPr>
            <w:r w:rsidRPr="00C74BE9">
              <w:rPr>
                <w:rFonts w:asciiTheme="majorHAnsi" w:hAnsiTheme="majorHAnsi" w:cstheme="majorHAnsi"/>
                <w:b/>
                <w:bCs/>
                <w:color w:val="FFFFFF" w:themeColor="background1"/>
                <w:sz w:val="16"/>
                <w:szCs w:val="16"/>
              </w:rPr>
              <w:t>Description</w:t>
            </w:r>
          </w:p>
        </w:tc>
        <w:tc>
          <w:tcPr>
            <w:tcW w:w="990"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tcPr>
          <w:p w14:paraId="7DA776D6" w14:textId="77777777" w:rsidR="00962B82" w:rsidRPr="00C74BE9" w:rsidRDefault="00962B82" w:rsidP="00962B82">
            <w:pPr>
              <w:pStyle w:val="NoSpacing"/>
              <w:rPr>
                <w:rFonts w:asciiTheme="majorHAnsi" w:hAnsiTheme="majorHAnsi" w:cstheme="majorHAnsi"/>
                <w:b/>
                <w:bCs/>
                <w:color w:val="FFFFFF" w:themeColor="background1"/>
                <w:sz w:val="16"/>
                <w:szCs w:val="16"/>
              </w:rPr>
            </w:pPr>
            <w:r w:rsidRPr="00C74BE9">
              <w:rPr>
                <w:rFonts w:asciiTheme="majorHAnsi" w:hAnsiTheme="majorHAnsi" w:cstheme="majorHAnsi"/>
                <w:b/>
                <w:bCs/>
                <w:color w:val="FFFFFF" w:themeColor="background1"/>
                <w:sz w:val="16"/>
                <w:szCs w:val="16"/>
              </w:rPr>
              <w:t>Licensing Options</w:t>
            </w:r>
          </w:p>
        </w:tc>
        <w:tc>
          <w:tcPr>
            <w:tcW w:w="1214" w:type="dxa"/>
            <w:tcBorders>
              <w:top w:val="nil"/>
              <w:left w:val="single" w:sz="4" w:space="0" w:color="FFFFFF" w:themeColor="background1"/>
              <w:bottom w:val="single" w:sz="4" w:space="0" w:color="FFFFFF" w:themeColor="background1"/>
              <w:right w:val="nil"/>
            </w:tcBorders>
            <w:shd w:val="clear" w:color="auto" w:fill="404040" w:themeFill="text1" w:themeFillTint="BF"/>
            <w:vAlign w:val="center"/>
          </w:tcPr>
          <w:p w14:paraId="1C86EFF2" w14:textId="77777777" w:rsidR="00962B82" w:rsidRPr="00C74BE9" w:rsidRDefault="00962B82" w:rsidP="00962B82">
            <w:pPr>
              <w:pStyle w:val="NoSpacing"/>
              <w:rPr>
                <w:rFonts w:asciiTheme="majorHAnsi" w:hAnsiTheme="majorHAnsi" w:cstheme="majorHAnsi"/>
                <w:bCs/>
                <w:color w:val="FFFFFF" w:themeColor="background1"/>
                <w:sz w:val="16"/>
                <w:szCs w:val="16"/>
              </w:rPr>
            </w:pPr>
            <w:r w:rsidRPr="00C74BE9">
              <w:rPr>
                <w:rFonts w:asciiTheme="majorHAnsi" w:hAnsiTheme="majorHAnsi" w:cstheme="majorHAnsi"/>
                <w:b/>
                <w:bCs/>
                <w:color w:val="FFFFFF" w:themeColor="background1"/>
                <w:sz w:val="16"/>
                <w:szCs w:val="16"/>
              </w:rPr>
              <w:t>Pricing</w:t>
            </w:r>
            <w:r w:rsidR="00834D56">
              <w:rPr>
                <w:rFonts w:asciiTheme="majorHAnsi" w:hAnsiTheme="majorHAnsi" w:cstheme="majorHAnsi"/>
                <w:b/>
                <w:bCs/>
                <w:color w:val="FFFFFF" w:themeColor="background1"/>
                <w:sz w:val="16"/>
                <w:szCs w:val="16"/>
              </w:rPr>
              <w:t>**</w:t>
            </w:r>
          </w:p>
        </w:tc>
      </w:tr>
      <w:tr w:rsidR="00B34E5A" w:rsidRPr="00C74BE9" w14:paraId="6FE593F2" w14:textId="77777777" w:rsidTr="006D60A4">
        <w:trPr>
          <w:trHeight w:val="73"/>
        </w:trPr>
        <w:tc>
          <w:tcPr>
            <w:tcW w:w="136" w:type="dxa"/>
            <w:vMerge/>
            <w:tcBorders>
              <w:top w:val="single" w:sz="4" w:space="0" w:color="FFFFFF" w:themeColor="background1"/>
              <w:left w:val="nil"/>
              <w:bottom w:val="nil"/>
              <w:right w:val="single" w:sz="4" w:space="0" w:color="FFFFFF" w:themeColor="background1"/>
            </w:tcBorders>
            <w:shd w:val="clear" w:color="auto" w:fill="FFFFFF" w:themeFill="background1"/>
            <w:vAlign w:val="center"/>
          </w:tcPr>
          <w:p w14:paraId="1A7D7BC1" w14:textId="77777777" w:rsidR="00962B82" w:rsidRPr="00C74BE9" w:rsidRDefault="00962B82" w:rsidP="00962B82">
            <w:pPr>
              <w:pStyle w:val="NoSpacing"/>
              <w:rPr>
                <w:rFonts w:asciiTheme="majorHAnsi" w:hAnsiTheme="majorHAnsi" w:cstheme="majorHAnsi"/>
                <w:bCs/>
                <w:color w:val="FFFFFF" w:themeColor="background1"/>
                <w:sz w:val="16"/>
                <w:szCs w:val="16"/>
              </w:rPr>
            </w:pPr>
          </w:p>
        </w:tc>
        <w:tc>
          <w:tcPr>
            <w:tcW w:w="1710" w:type="dxa"/>
            <w:gridSpan w:val="2"/>
            <w:vMerge/>
            <w:tcBorders>
              <w:top w:val="single" w:sz="4" w:space="0" w:color="FFFFFF" w:themeColor="background1"/>
              <w:left w:val="nil"/>
              <w:bottom w:val="nil"/>
              <w:right w:val="single" w:sz="4" w:space="0" w:color="FFFFFF" w:themeColor="background1"/>
            </w:tcBorders>
            <w:shd w:val="clear" w:color="auto" w:fill="943634" w:themeFill="accent2" w:themeFillShade="BF"/>
            <w:vAlign w:val="center"/>
          </w:tcPr>
          <w:p w14:paraId="5B01655E" w14:textId="77777777" w:rsidR="00962B82" w:rsidRPr="00C74BE9" w:rsidRDefault="00962B82" w:rsidP="00962B82">
            <w:pPr>
              <w:pStyle w:val="NoSpacing"/>
              <w:ind w:left="122"/>
              <w:rPr>
                <w:rFonts w:asciiTheme="majorHAnsi" w:hAnsiTheme="majorHAnsi" w:cstheme="majorHAnsi"/>
                <w:bCs/>
                <w:color w:val="FFFFFF" w:themeColor="background1"/>
                <w:sz w:val="16"/>
                <w:szCs w:val="16"/>
              </w:rPr>
            </w:pPr>
          </w:p>
        </w:tc>
        <w:tc>
          <w:tcPr>
            <w:tcW w:w="1440" w:type="dxa"/>
            <w:vMerge/>
            <w:tcBorders>
              <w:top w:val="single" w:sz="4" w:space="0" w:color="FFFFFF" w:themeColor="background1"/>
              <w:left w:val="single" w:sz="4" w:space="0" w:color="FFFFFF" w:themeColor="background1"/>
              <w:bottom w:val="nil"/>
              <w:right w:val="single" w:sz="4" w:space="0" w:color="FFFFFF" w:themeColor="background1"/>
            </w:tcBorders>
            <w:shd w:val="clear" w:color="auto" w:fill="943634" w:themeFill="accent2" w:themeFillShade="BF"/>
            <w:vAlign w:val="center"/>
          </w:tcPr>
          <w:p w14:paraId="5F9AA136" w14:textId="77777777" w:rsidR="00962B82" w:rsidRPr="00C74BE9" w:rsidRDefault="00962B82" w:rsidP="00962B82">
            <w:pPr>
              <w:pStyle w:val="NoSpacing"/>
              <w:rPr>
                <w:rFonts w:asciiTheme="majorHAnsi" w:hAnsiTheme="majorHAnsi" w:cstheme="majorHAnsi"/>
                <w:bCs/>
                <w:color w:val="FFFFFF" w:themeColor="background1"/>
                <w:sz w:val="16"/>
                <w:szCs w:val="16"/>
              </w:rPr>
            </w:pPr>
          </w:p>
        </w:tc>
        <w:tc>
          <w:tcPr>
            <w:tcW w:w="540" w:type="dxa"/>
            <w:tcBorders>
              <w:top w:val="single" w:sz="4" w:space="0" w:color="FFFFFF" w:themeColor="background1"/>
              <w:left w:val="single" w:sz="4" w:space="0" w:color="FFFFFF" w:themeColor="background1"/>
              <w:bottom w:val="nil"/>
              <w:right w:val="single" w:sz="4" w:space="0" w:color="FFFFFF" w:themeColor="background1"/>
            </w:tcBorders>
            <w:shd w:val="clear" w:color="auto" w:fill="404040" w:themeFill="text1" w:themeFillTint="BF"/>
            <w:vAlign w:val="center"/>
          </w:tcPr>
          <w:p w14:paraId="4A277B32" w14:textId="77777777" w:rsidR="006D60A4" w:rsidRDefault="006D60A4" w:rsidP="00962B82">
            <w:pPr>
              <w:pStyle w:val="NoSpacing"/>
              <w:rPr>
                <w:rFonts w:asciiTheme="majorHAnsi" w:hAnsiTheme="majorHAnsi" w:cstheme="majorHAnsi"/>
                <w:bCs/>
                <w:color w:val="FFFFFF" w:themeColor="background1"/>
                <w:sz w:val="16"/>
                <w:szCs w:val="16"/>
              </w:rPr>
            </w:pPr>
            <w:r>
              <w:rPr>
                <w:rFonts w:asciiTheme="majorHAnsi" w:hAnsiTheme="majorHAnsi" w:cstheme="majorHAnsi"/>
                <w:bCs/>
                <w:color w:val="FFFFFF" w:themeColor="background1"/>
                <w:sz w:val="16"/>
                <w:szCs w:val="16"/>
              </w:rPr>
              <w:t>Server</w:t>
            </w:r>
          </w:p>
          <w:p w14:paraId="67ADFA30" w14:textId="77777777" w:rsidR="00962B82" w:rsidRPr="00C74BE9" w:rsidRDefault="00962B82" w:rsidP="006D60A4">
            <w:pPr>
              <w:pStyle w:val="NoSpacing"/>
              <w:rPr>
                <w:rFonts w:asciiTheme="majorHAnsi" w:hAnsiTheme="majorHAnsi" w:cstheme="majorHAnsi"/>
                <w:bCs/>
                <w:color w:val="FFFFFF" w:themeColor="background1"/>
                <w:sz w:val="16"/>
                <w:szCs w:val="16"/>
              </w:rPr>
            </w:pPr>
            <w:r w:rsidRPr="00C74BE9">
              <w:rPr>
                <w:rFonts w:asciiTheme="majorHAnsi" w:hAnsiTheme="majorHAnsi" w:cstheme="majorHAnsi"/>
                <w:bCs/>
                <w:color w:val="FFFFFF" w:themeColor="background1"/>
                <w:sz w:val="16"/>
                <w:szCs w:val="16"/>
              </w:rPr>
              <w:t>+</w:t>
            </w:r>
            <w:r w:rsidR="006D60A4">
              <w:rPr>
                <w:rFonts w:asciiTheme="majorHAnsi" w:hAnsiTheme="majorHAnsi" w:cstheme="majorHAnsi"/>
                <w:bCs/>
                <w:color w:val="FFFFFF" w:themeColor="background1"/>
                <w:sz w:val="16"/>
                <w:szCs w:val="16"/>
              </w:rPr>
              <w:t xml:space="preserve"> </w:t>
            </w:r>
            <w:r w:rsidRPr="00C74BE9">
              <w:rPr>
                <w:rFonts w:asciiTheme="majorHAnsi" w:hAnsiTheme="majorHAnsi" w:cstheme="majorHAnsi"/>
                <w:bCs/>
                <w:color w:val="FFFFFF" w:themeColor="background1"/>
                <w:sz w:val="16"/>
                <w:szCs w:val="16"/>
              </w:rPr>
              <w:t>CAL</w:t>
            </w:r>
          </w:p>
        </w:tc>
        <w:tc>
          <w:tcPr>
            <w:tcW w:w="450" w:type="dxa"/>
            <w:tcBorders>
              <w:top w:val="single" w:sz="4" w:space="0" w:color="FFFFFF" w:themeColor="background1"/>
              <w:left w:val="single" w:sz="4" w:space="0" w:color="FFFFFF" w:themeColor="background1"/>
              <w:bottom w:val="nil"/>
              <w:right w:val="single" w:sz="4" w:space="0" w:color="FFFFFF" w:themeColor="background1"/>
            </w:tcBorders>
            <w:shd w:val="clear" w:color="auto" w:fill="404040" w:themeFill="text1" w:themeFillTint="BF"/>
            <w:vAlign w:val="center"/>
          </w:tcPr>
          <w:p w14:paraId="1863F927" w14:textId="77777777" w:rsidR="00962B82" w:rsidRPr="00C74BE9" w:rsidRDefault="00962B82" w:rsidP="00962B82">
            <w:pPr>
              <w:pStyle w:val="NoSpacing"/>
              <w:rPr>
                <w:rFonts w:asciiTheme="majorHAnsi" w:hAnsiTheme="majorHAnsi" w:cstheme="majorHAnsi"/>
                <w:bCs/>
                <w:color w:val="FFFFFF" w:themeColor="background1"/>
                <w:sz w:val="16"/>
                <w:szCs w:val="16"/>
              </w:rPr>
            </w:pPr>
            <w:r w:rsidRPr="00C74BE9">
              <w:rPr>
                <w:rFonts w:asciiTheme="majorHAnsi" w:hAnsiTheme="majorHAnsi" w:cstheme="majorHAnsi"/>
                <w:bCs/>
                <w:color w:val="FFFFFF" w:themeColor="background1"/>
                <w:sz w:val="16"/>
                <w:szCs w:val="16"/>
              </w:rPr>
              <w:t>Core Based</w:t>
            </w:r>
          </w:p>
        </w:tc>
        <w:tc>
          <w:tcPr>
            <w:tcW w:w="1214" w:type="dxa"/>
            <w:tcBorders>
              <w:top w:val="single" w:sz="4" w:space="0" w:color="FFFFFF" w:themeColor="background1"/>
              <w:left w:val="single" w:sz="4" w:space="0" w:color="FFFFFF" w:themeColor="background1"/>
              <w:bottom w:val="nil"/>
              <w:right w:val="nil"/>
            </w:tcBorders>
            <w:shd w:val="clear" w:color="auto" w:fill="404040" w:themeFill="text1" w:themeFillTint="BF"/>
            <w:vAlign w:val="center"/>
          </w:tcPr>
          <w:p w14:paraId="4E5A0E5B" w14:textId="77777777" w:rsidR="00962B82" w:rsidRPr="00C74BE9" w:rsidRDefault="00962B82" w:rsidP="00962B82">
            <w:pPr>
              <w:pStyle w:val="NoSpacing"/>
              <w:rPr>
                <w:rFonts w:asciiTheme="majorHAnsi" w:hAnsiTheme="majorHAnsi" w:cstheme="majorHAnsi"/>
                <w:bCs/>
                <w:color w:val="FFFFFF" w:themeColor="background1"/>
                <w:sz w:val="16"/>
                <w:szCs w:val="16"/>
              </w:rPr>
            </w:pPr>
            <w:r w:rsidRPr="00C74BE9">
              <w:rPr>
                <w:rFonts w:asciiTheme="majorHAnsi" w:hAnsiTheme="majorHAnsi" w:cstheme="majorHAnsi"/>
                <w:bCs/>
                <w:color w:val="FFFFFF" w:themeColor="background1"/>
                <w:sz w:val="16"/>
                <w:szCs w:val="16"/>
              </w:rPr>
              <w:t>Open NL (US$)</w:t>
            </w:r>
          </w:p>
        </w:tc>
      </w:tr>
      <w:tr w:rsidR="00B34E5A" w:rsidRPr="00C74BE9" w14:paraId="4268C864" w14:textId="77777777" w:rsidTr="006D60A4">
        <w:trPr>
          <w:trHeight w:val="945"/>
        </w:trPr>
        <w:tc>
          <w:tcPr>
            <w:tcW w:w="136" w:type="dxa"/>
            <w:vMerge w:val="restart"/>
            <w:tcBorders>
              <w:top w:val="nil"/>
              <w:left w:val="nil"/>
              <w:bottom w:val="single" w:sz="4" w:space="0" w:color="FFFFFF" w:themeColor="background1"/>
              <w:right w:val="single" w:sz="4" w:space="0" w:color="FFFFFF" w:themeColor="background1"/>
            </w:tcBorders>
            <w:shd w:val="clear" w:color="auto" w:fill="FFFFFF" w:themeFill="background1"/>
            <w:vAlign w:val="center"/>
          </w:tcPr>
          <w:p w14:paraId="5569916A" w14:textId="77777777" w:rsidR="00962B82" w:rsidRPr="00C74BE9" w:rsidRDefault="00962B82" w:rsidP="00962B82">
            <w:pPr>
              <w:pStyle w:val="NoSpacing"/>
              <w:rPr>
                <w:rFonts w:asciiTheme="majorHAnsi" w:hAnsiTheme="majorHAnsi" w:cstheme="majorHAnsi"/>
                <w:b/>
                <w:bCs/>
                <w:color w:val="000000" w:themeColor="text1"/>
                <w:sz w:val="16"/>
                <w:szCs w:val="16"/>
              </w:rPr>
            </w:pPr>
          </w:p>
        </w:tc>
        <w:tc>
          <w:tcPr>
            <w:tcW w:w="810" w:type="dxa"/>
            <w:vMerge w:val="restart"/>
            <w:tcBorders>
              <w:top w:val="nil"/>
              <w:left w:val="nil"/>
              <w:bottom w:val="single" w:sz="4" w:space="0" w:color="FFFFFF" w:themeColor="background1"/>
              <w:right w:val="single" w:sz="4" w:space="0" w:color="FFFFFF" w:themeColor="background1"/>
            </w:tcBorders>
            <w:shd w:val="clear" w:color="auto" w:fill="943634" w:themeFill="accent2" w:themeFillShade="BF"/>
            <w:vAlign w:val="center"/>
          </w:tcPr>
          <w:p w14:paraId="4DFC7BEE" w14:textId="77777777" w:rsidR="00962B82" w:rsidRPr="00C74BE9" w:rsidRDefault="0073690E" w:rsidP="00962B82">
            <w:pPr>
              <w:pStyle w:val="NoSpacing"/>
              <w:ind w:left="122"/>
              <w:rPr>
                <w:rFonts w:asciiTheme="majorHAnsi" w:hAnsiTheme="majorHAnsi" w:cstheme="majorHAnsi"/>
                <w:b/>
                <w:bCs/>
                <w:color w:val="FFFFFF" w:themeColor="background1"/>
                <w:sz w:val="16"/>
                <w:szCs w:val="16"/>
              </w:rPr>
            </w:pPr>
            <w:r w:rsidRPr="00C74BE9">
              <w:rPr>
                <w:rFonts w:asciiTheme="majorHAnsi" w:hAnsiTheme="majorHAnsi" w:cstheme="majorHAnsi"/>
                <w:b/>
                <w:bCs/>
                <w:color w:val="FFFFFF" w:themeColor="background1"/>
                <w:sz w:val="16"/>
                <w:szCs w:val="16"/>
              </w:rPr>
              <w:t>Main</w:t>
            </w:r>
            <w:r w:rsidR="00962B82" w:rsidRPr="00C74BE9">
              <w:rPr>
                <w:rFonts w:asciiTheme="majorHAnsi" w:hAnsiTheme="majorHAnsi" w:cstheme="majorHAnsi"/>
                <w:b/>
                <w:bCs/>
                <w:color w:val="FFFFFF" w:themeColor="background1"/>
                <w:sz w:val="16"/>
                <w:szCs w:val="16"/>
              </w:rPr>
              <w:t xml:space="preserve"> Editions</w:t>
            </w:r>
          </w:p>
        </w:tc>
        <w:tc>
          <w:tcPr>
            <w:tcW w:w="900" w:type="dxa"/>
            <w:tcBorders>
              <w:top w:val="nil"/>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A2B2CEE" w14:textId="77777777" w:rsidR="00962B82" w:rsidRPr="00C74BE9" w:rsidRDefault="00962B82" w:rsidP="00962B82">
            <w:pPr>
              <w:pStyle w:val="NoSpacing"/>
              <w:ind w:left="32"/>
              <w:rPr>
                <w:rFonts w:asciiTheme="majorHAnsi" w:hAnsiTheme="majorHAnsi" w:cstheme="majorHAnsi"/>
                <w:bCs/>
                <w:color w:val="000000" w:themeColor="text1"/>
                <w:sz w:val="16"/>
                <w:szCs w:val="16"/>
              </w:rPr>
            </w:pPr>
            <w:r w:rsidRPr="00C74BE9">
              <w:rPr>
                <w:rFonts w:asciiTheme="majorHAnsi" w:hAnsiTheme="majorHAnsi" w:cstheme="majorHAnsi"/>
                <w:bCs/>
                <w:color w:val="000000" w:themeColor="text1"/>
                <w:sz w:val="16"/>
                <w:szCs w:val="16"/>
              </w:rPr>
              <w:t>Enterprise</w:t>
            </w:r>
          </w:p>
        </w:tc>
        <w:tc>
          <w:tcPr>
            <w:tcW w:w="1440" w:type="dxa"/>
            <w:tcBorders>
              <w:top w:val="nil"/>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5678DA4" w14:textId="77777777" w:rsidR="00962B82" w:rsidRPr="00C74BE9" w:rsidRDefault="00962B82" w:rsidP="00962B82">
            <w:pPr>
              <w:pStyle w:val="NoSpacing"/>
              <w:ind w:left="32"/>
              <w:rPr>
                <w:rFonts w:asciiTheme="majorHAnsi" w:hAnsiTheme="majorHAnsi" w:cstheme="majorHAnsi"/>
                <w:bCs/>
                <w:color w:val="000000" w:themeColor="text1"/>
                <w:sz w:val="16"/>
                <w:szCs w:val="16"/>
              </w:rPr>
            </w:pPr>
            <w:r w:rsidRPr="00C74BE9">
              <w:rPr>
                <w:rFonts w:asciiTheme="majorHAnsi" w:hAnsiTheme="majorHAnsi" w:cstheme="majorHAnsi"/>
                <w:bCs/>
                <w:color w:val="000000" w:themeColor="text1"/>
                <w:sz w:val="16"/>
                <w:szCs w:val="16"/>
              </w:rPr>
              <w:t>High end datacenter, data warehousing and BI capabilities</w:t>
            </w:r>
          </w:p>
        </w:tc>
        <w:tc>
          <w:tcPr>
            <w:tcW w:w="540" w:type="dxa"/>
            <w:tcBorders>
              <w:top w:val="nil"/>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0B184A0" w14:textId="77777777" w:rsidR="00962B82" w:rsidRPr="00B34E5A" w:rsidRDefault="00962B82" w:rsidP="00B34E5A">
            <w:pPr>
              <w:pStyle w:val="NoSpacing"/>
              <w:jc w:val="center"/>
              <w:rPr>
                <w:rFonts w:asciiTheme="majorHAnsi" w:hAnsiTheme="majorHAnsi" w:cstheme="majorHAnsi"/>
                <w:b/>
                <w:bCs/>
                <w:color w:val="943634" w:themeColor="accent2" w:themeShade="BF"/>
                <w:sz w:val="28"/>
                <w:szCs w:val="16"/>
              </w:rPr>
            </w:pPr>
          </w:p>
        </w:tc>
        <w:tc>
          <w:tcPr>
            <w:tcW w:w="450" w:type="dxa"/>
            <w:tcBorders>
              <w:top w:val="nil"/>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539C2DE" w14:textId="77777777" w:rsidR="00962B82" w:rsidRPr="00B34E5A" w:rsidRDefault="00962B82" w:rsidP="00B838C1">
            <w:pPr>
              <w:pStyle w:val="NoSpacing"/>
              <w:numPr>
                <w:ilvl w:val="0"/>
                <w:numId w:val="5"/>
              </w:numPr>
              <w:ind w:left="0" w:firstLine="1"/>
              <w:jc w:val="center"/>
              <w:rPr>
                <w:rFonts w:asciiTheme="majorHAnsi" w:hAnsiTheme="majorHAnsi" w:cstheme="majorHAnsi"/>
                <w:b/>
                <w:bCs/>
                <w:color w:val="943634" w:themeColor="accent2" w:themeShade="BF"/>
                <w:sz w:val="28"/>
                <w:szCs w:val="16"/>
              </w:rPr>
            </w:pPr>
          </w:p>
        </w:tc>
        <w:tc>
          <w:tcPr>
            <w:tcW w:w="1214" w:type="dxa"/>
            <w:tcBorders>
              <w:top w:val="nil"/>
              <w:left w:val="single" w:sz="4" w:space="0" w:color="FFFFFF" w:themeColor="background1"/>
              <w:bottom w:val="single" w:sz="4" w:space="0" w:color="FFFFFF" w:themeColor="background1"/>
              <w:right w:val="nil"/>
            </w:tcBorders>
            <w:shd w:val="clear" w:color="auto" w:fill="F2F2F2" w:themeFill="background1" w:themeFillShade="F2"/>
            <w:vAlign w:val="center"/>
          </w:tcPr>
          <w:p w14:paraId="43F5A932" w14:textId="77777777" w:rsidR="00962B82" w:rsidRPr="00C74BE9" w:rsidRDefault="00962B82" w:rsidP="00962B82">
            <w:pPr>
              <w:pStyle w:val="NoSpacing"/>
              <w:ind w:left="32"/>
              <w:rPr>
                <w:rFonts w:asciiTheme="majorHAnsi" w:hAnsiTheme="majorHAnsi" w:cstheme="majorHAnsi"/>
                <w:bCs/>
                <w:color w:val="000000" w:themeColor="text1"/>
                <w:sz w:val="16"/>
                <w:szCs w:val="16"/>
              </w:rPr>
            </w:pPr>
            <w:r w:rsidRPr="00C74BE9">
              <w:rPr>
                <w:rFonts w:asciiTheme="majorHAnsi" w:hAnsiTheme="majorHAnsi" w:cstheme="majorHAnsi"/>
                <w:bCs/>
                <w:color w:val="000000" w:themeColor="text1"/>
                <w:sz w:val="16"/>
                <w:szCs w:val="16"/>
              </w:rPr>
              <w:t>$6,874 per Core</w:t>
            </w:r>
          </w:p>
        </w:tc>
      </w:tr>
      <w:tr w:rsidR="00B34E5A" w:rsidRPr="00C74BE9" w14:paraId="5CE6CB31" w14:textId="77777777" w:rsidTr="006D60A4">
        <w:trPr>
          <w:trHeight w:val="890"/>
        </w:trPr>
        <w:tc>
          <w:tcPr>
            <w:tcW w:w="136"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center"/>
          </w:tcPr>
          <w:p w14:paraId="48DC8D61" w14:textId="77777777" w:rsidR="00962B82" w:rsidRPr="00C74BE9" w:rsidRDefault="00962B82" w:rsidP="00962B82">
            <w:pPr>
              <w:pStyle w:val="NoSpacing"/>
              <w:rPr>
                <w:rFonts w:asciiTheme="majorHAnsi" w:hAnsiTheme="majorHAnsi" w:cstheme="majorHAnsi"/>
                <w:b/>
                <w:bCs/>
                <w:color w:val="000000" w:themeColor="text1"/>
                <w:sz w:val="16"/>
                <w:szCs w:val="16"/>
              </w:rPr>
            </w:pPr>
          </w:p>
        </w:tc>
        <w:tc>
          <w:tcPr>
            <w:tcW w:w="810"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943634" w:themeFill="accent2" w:themeFillShade="BF"/>
            <w:vAlign w:val="center"/>
          </w:tcPr>
          <w:p w14:paraId="50288F0A" w14:textId="77777777" w:rsidR="00962B82" w:rsidRPr="00C74BE9" w:rsidRDefault="00962B82" w:rsidP="00962B82">
            <w:pPr>
              <w:pStyle w:val="NoSpacing"/>
              <w:rPr>
                <w:rFonts w:asciiTheme="majorHAnsi" w:hAnsiTheme="majorHAnsi" w:cstheme="majorHAnsi"/>
                <w:b/>
                <w:bCs/>
                <w:color w:val="000000" w:themeColor="text1"/>
                <w:sz w:val="16"/>
                <w:szCs w:val="16"/>
              </w:rPr>
            </w:pP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F045371" w14:textId="77777777" w:rsidR="00962B82" w:rsidRPr="00C74BE9" w:rsidRDefault="00962B82" w:rsidP="00962B82">
            <w:pPr>
              <w:pStyle w:val="NoSpacing"/>
              <w:ind w:left="32"/>
              <w:rPr>
                <w:rFonts w:asciiTheme="majorHAnsi" w:hAnsiTheme="majorHAnsi" w:cstheme="majorHAnsi"/>
                <w:bCs/>
                <w:color w:val="000000" w:themeColor="text1"/>
                <w:sz w:val="16"/>
                <w:szCs w:val="16"/>
              </w:rPr>
            </w:pPr>
            <w:r w:rsidRPr="00C74BE9">
              <w:rPr>
                <w:rFonts w:asciiTheme="majorHAnsi" w:hAnsiTheme="majorHAnsi" w:cstheme="majorHAnsi"/>
                <w:bCs/>
                <w:color w:val="000000" w:themeColor="text1"/>
                <w:sz w:val="16"/>
                <w:szCs w:val="16"/>
              </w:rPr>
              <w:t>Business Intelligence</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401E39B" w14:textId="77777777" w:rsidR="00962B82" w:rsidRPr="00C74BE9" w:rsidRDefault="00962B82" w:rsidP="00962B82">
            <w:pPr>
              <w:pStyle w:val="NoSpacing"/>
              <w:ind w:left="32"/>
              <w:rPr>
                <w:rFonts w:asciiTheme="majorHAnsi" w:hAnsiTheme="majorHAnsi" w:cstheme="majorHAnsi"/>
                <w:bCs/>
                <w:color w:val="000000" w:themeColor="text1"/>
                <w:sz w:val="16"/>
                <w:szCs w:val="16"/>
              </w:rPr>
            </w:pPr>
            <w:r w:rsidRPr="00C74BE9">
              <w:rPr>
                <w:rFonts w:asciiTheme="majorHAnsi" w:hAnsiTheme="majorHAnsi" w:cstheme="majorHAnsi"/>
                <w:bCs/>
                <w:color w:val="000000" w:themeColor="text1"/>
                <w:sz w:val="16"/>
                <w:szCs w:val="16"/>
              </w:rPr>
              <w:t>Enterprise BI and High Scale Analytics</w:t>
            </w:r>
          </w:p>
        </w:tc>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78564B5" w14:textId="77777777" w:rsidR="00962B82" w:rsidRPr="00B34E5A" w:rsidRDefault="00962B82" w:rsidP="00B838C1">
            <w:pPr>
              <w:pStyle w:val="NoSpacing"/>
              <w:numPr>
                <w:ilvl w:val="0"/>
                <w:numId w:val="4"/>
              </w:numPr>
              <w:ind w:left="0" w:firstLine="0"/>
              <w:jc w:val="center"/>
              <w:rPr>
                <w:rFonts w:asciiTheme="majorHAnsi" w:hAnsiTheme="majorHAnsi" w:cstheme="majorHAnsi"/>
                <w:b/>
                <w:bCs/>
                <w:color w:val="943634" w:themeColor="accent2" w:themeShade="BF"/>
                <w:sz w:val="28"/>
                <w:szCs w:val="16"/>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37564D2" w14:textId="77777777" w:rsidR="00962B82" w:rsidRPr="00B34E5A" w:rsidRDefault="00962B82" w:rsidP="00B34E5A">
            <w:pPr>
              <w:pStyle w:val="NoSpacing"/>
              <w:jc w:val="center"/>
              <w:rPr>
                <w:rFonts w:asciiTheme="majorHAnsi" w:hAnsiTheme="majorHAnsi" w:cstheme="majorHAnsi"/>
                <w:b/>
                <w:bCs/>
                <w:color w:val="943634" w:themeColor="accent2" w:themeShade="BF"/>
                <w:sz w:val="28"/>
                <w:szCs w:val="16"/>
              </w:rPr>
            </w:pPr>
          </w:p>
        </w:tc>
        <w:tc>
          <w:tcPr>
            <w:tcW w:w="121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59A9A9E0" w14:textId="77777777" w:rsidR="00962B82" w:rsidRPr="00C74BE9" w:rsidRDefault="00962B82">
            <w:pPr>
              <w:pStyle w:val="NoSpacing"/>
              <w:ind w:left="32"/>
              <w:rPr>
                <w:rFonts w:asciiTheme="majorHAnsi" w:hAnsiTheme="majorHAnsi" w:cstheme="majorHAnsi"/>
                <w:bCs/>
                <w:i/>
                <w:color w:val="000000" w:themeColor="text1"/>
                <w:sz w:val="16"/>
                <w:szCs w:val="16"/>
              </w:rPr>
            </w:pPr>
            <w:r w:rsidRPr="00C74BE9">
              <w:rPr>
                <w:rFonts w:asciiTheme="majorHAnsi" w:hAnsiTheme="majorHAnsi" w:cstheme="majorHAnsi"/>
                <w:bCs/>
                <w:color w:val="000000" w:themeColor="text1"/>
                <w:sz w:val="16"/>
                <w:szCs w:val="16"/>
              </w:rPr>
              <w:t>$8,592 per Serve</w:t>
            </w:r>
            <w:r w:rsidR="001F3C52" w:rsidRPr="00C74BE9">
              <w:rPr>
                <w:rFonts w:asciiTheme="majorHAnsi" w:hAnsiTheme="majorHAnsi" w:cstheme="majorHAnsi"/>
                <w:bCs/>
                <w:color w:val="000000" w:themeColor="text1"/>
                <w:sz w:val="16"/>
                <w:szCs w:val="16"/>
              </w:rPr>
              <w:t>r*</w:t>
            </w:r>
          </w:p>
        </w:tc>
      </w:tr>
      <w:tr w:rsidR="00B34E5A" w:rsidRPr="00C74BE9" w14:paraId="46B0FA8F" w14:textId="77777777" w:rsidTr="006D60A4">
        <w:trPr>
          <w:trHeight w:val="701"/>
        </w:trPr>
        <w:tc>
          <w:tcPr>
            <w:tcW w:w="136"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center"/>
          </w:tcPr>
          <w:p w14:paraId="1D0E0852" w14:textId="77777777" w:rsidR="00962B82" w:rsidRPr="00C74BE9" w:rsidRDefault="00962B82" w:rsidP="00962B82">
            <w:pPr>
              <w:pStyle w:val="NoSpacing"/>
              <w:rPr>
                <w:rFonts w:asciiTheme="majorHAnsi" w:hAnsiTheme="majorHAnsi" w:cstheme="majorHAnsi"/>
                <w:b/>
                <w:bCs/>
                <w:color w:val="000000" w:themeColor="text1"/>
                <w:sz w:val="16"/>
                <w:szCs w:val="16"/>
              </w:rPr>
            </w:pPr>
          </w:p>
        </w:tc>
        <w:tc>
          <w:tcPr>
            <w:tcW w:w="810"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943634" w:themeFill="accent2" w:themeFillShade="BF"/>
            <w:vAlign w:val="center"/>
          </w:tcPr>
          <w:p w14:paraId="3E61EC62" w14:textId="77777777" w:rsidR="00962B82" w:rsidRPr="00C74BE9" w:rsidRDefault="00962B82" w:rsidP="00962B82">
            <w:pPr>
              <w:pStyle w:val="NoSpacing"/>
              <w:rPr>
                <w:rFonts w:asciiTheme="majorHAnsi" w:hAnsiTheme="majorHAnsi" w:cstheme="majorHAnsi"/>
                <w:b/>
                <w:bCs/>
                <w:color w:val="000000" w:themeColor="text1"/>
                <w:sz w:val="16"/>
                <w:szCs w:val="16"/>
              </w:rPr>
            </w:pP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DB64717" w14:textId="77777777" w:rsidR="00962B82" w:rsidRPr="00C74BE9" w:rsidRDefault="00962B82" w:rsidP="00962B82">
            <w:pPr>
              <w:pStyle w:val="NoSpacing"/>
              <w:ind w:left="32"/>
              <w:rPr>
                <w:rFonts w:asciiTheme="majorHAnsi" w:hAnsiTheme="majorHAnsi" w:cstheme="majorHAnsi"/>
                <w:bCs/>
                <w:color w:val="000000" w:themeColor="text1"/>
                <w:sz w:val="16"/>
                <w:szCs w:val="16"/>
              </w:rPr>
            </w:pPr>
            <w:r w:rsidRPr="00C74BE9">
              <w:rPr>
                <w:rFonts w:asciiTheme="majorHAnsi" w:hAnsiTheme="majorHAnsi" w:cstheme="majorHAnsi"/>
                <w:bCs/>
                <w:color w:val="000000" w:themeColor="text1"/>
                <w:sz w:val="16"/>
                <w:szCs w:val="16"/>
              </w:rPr>
              <w:t>Standard</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4D20EE0" w14:textId="77777777" w:rsidR="00962B82" w:rsidRPr="00C74BE9" w:rsidRDefault="00962B82" w:rsidP="00962B82">
            <w:pPr>
              <w:pStyle w:val="NoSpacing"/>
              <w:ind w:left="32"/>
              <w:rPr>
                <w:rFonts w:asciiTheme="majorHAnsi" w:hAnsiTheme="majorHAnsi" w:cstheme="majorHAnsi"/>
                <w:bCs/>
                <w:color w:val="000000" w:themeColor="text1"/>
                <w:sz w:val="16"/>
                <w:szCs w:val="16"/>
              </w:rPr>
            </w:pPr>
            <w:r w:rsidRPr="00C74BE9">
              <w:rPr>
                <w:rFonts w:asciiTheme="majorHAnsi" w:hAnsiTheme="majorHAnsi" w:cstheme="majorHAnsi"/>
                <w:bCs/>
                <w:color w:val="000000" w:themeColor="text1"/>
                <w:sz w:val="16"/>
                <w:szCs w:val="16"/>
              </w:rPr>
              <w:t>Basic database and BI capabilities</w:t>
            </w:r>
          </w:p>
        </w:tc>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9919930" w14:textId="77777777" w:rsidR="00962B82" w:rsidRPr="00B34E5A" w:rsidRDefault="00962B82" w:rsidP="00B838C1">
            <w:pPr>
              <w:pStyle w:val="NoSpacing"/>
              <w:numPr>
                <w:ilvl w:val="0"/>
                <w:numId w:val="4"/>
              </w:numPr>
              <w:ind w:left="0" w:firstLine="0"/>
              <w:jc w:val="center"/>
              <w:rPr>
                <w:rFonts w:asciiTheme="majorHAnsi" w:hAnsiTheme="majorHAnsi" w:cstheme="majorHAnsi"/>
                <w:b/>
                <w:bCs/>
                <w:color w:val="943634" w:themeColor="accent2" w:themeShade="BF"/>
                <w:sz w:val="28"/>
                <w:szCs w:val="16"/>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AEC345" w14:textId="77777777" w:rsidR="00962B82" w:rsidRPr="00B34E5A" w:rsidRDefault="00962B82" w:rsidP="00B838C1">
            <w:pPr>
              <w:pStyle w:val="NoSpacing"/>
              <w:numPr>
                <w:ilvl w:val="0"/>
                <w:numId w:val="4"/>
              </w:numPr>
              <w:ind w:left="0" w:firstLine="0"/>
              <w:jc w:val="center"/>
              <w:rPr>
                <w:rFonts w:asciiTheme="majorHAnsi" w:hAnsiTheme="majorHAnsi" w:cstheme="majorHAnsi"/>
                <w:b/>
                <w:bCs/>
                <w:color w:val="943634" w:themeColor="accent2" w:themeShade="BF"/>
                <w:sz w:val="28"/>
                <w:szCs w:val="16"/>
              </w:rPr>
            </w:pPr>
          </w:p>
        </w:tc>
        <w:tc>
          <w:tcPr>
            <w:tcW w:w="121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vAlign w:val="center"/>
          </w:tcPr>
          <w:p w14:paraId="7885F911" w14:textId="77777777" w:rsidR="00962B82" w:rsidRPr="00C74BE9" w:rsidRDefault="00962B82" w:rsidP="006D60A4">
            <w:pPr>
              <w:pStyle w:val="NoSpacing"/>
              <w:ind w:left="32"/>
              <w:rPr>
                <w:rFonts w:asciiTheme="majorHAnsi" w:hAnsiTheme="majorHAnsi" w:cstheme="majorHAnsi"/>
                <w:bCs/>
                <w:i/>
                <w:color w:val="000000" w:themeColor="text1"/>
                <w:sz w:val="16"/>
                <w:szCs w:val="16"/>
              </w:rPr>
            </w:pPr>
            <w:r w:rsidRPr="00C74BE9">
              <w:rPr>
                <w:rFonts w:asciiTheme="majorHAnsi" w:hAnsiTheme="majorHAnsi" w:cstheme="majorHAnsi"/>
                <w:bCs/>
                <w:color w:val="000000" w:themeColor="text1"/>
                <w:sz w:val="16"/>
                <w:szCs w:val="16"/>
              </w:rPr>
              <w:t>$</w:t>
            </w:r>
            <w:r w:rsidR="00EC7B62" w:rsidRPr="00C74BE9">
              <w:rPr>
                <w:rFonts w:asciiTheme="majorHAnsi" w:hAnsiTheme="majorHAnsi" w:cstheme="majorHAnsi"/>
                <w:bCs/>
                <w:color w:val="000000" w:themeColor="text1"/>
                <w:sz w:val="16"/>
                <w:szCs w:val="16"/>
              </w:rPr>
              <w:t>1,793</w:t>
            </w:r>
            <w:r w:rsidRPr="00C74BE9">
              <w:rPr>
                <w:rFonts w:asciiTheme="majorHAnsi" w:hAnsiTheme="majorHAnsi" w:cstheme="majorHAnsi"/>
                <w:bCs/>
                <w:color w:val="000000" w:themeColor="text1"/>
                <w:sz w:val="16"/>
                <w:szCs w:val="16"/>
              </w:rPr>
              <w:t xml:space="preserve"> per Core</w:t>
            </w:r>
            <w:r w:rsidR="001F3C52" w:rsidRPr="00C74BE9">
              <w:rPr>
                <w:rFonts w:asciiTheme="majorHAnsi" w:hAnsiTheme="majorHAnsi" w:cstheme="majorHAnsi"/>
                <w:bCs/>
                <w:color w:val="000000" w:themeColor="text1"/>
                <w:sz w:val="16"/>
                <w:szCs w:val="16"/>
              </w:rPr>
              <w:t>, or</w:t>
            </w:r>
            <w:r w:rsidR="006D60A4">
              <w:rPr>
                <w:rFonts w:asciiTheme="majorHAnsi" w:hAnsiTheme="majorHAnsi" w:cstheme="majorHAnsi"/>
                <w:bCs/>
                <w:color w:val="000000" w:themeColor="text1"/>
                <w:sz w:val="16"/>
                <w:szCs w:val="16"/>
              </w:rPr>
              <w:t xml:space="preserve"> </w:t>
            </w:r>
            <w:r w:rsidRPr="00C74BE9">
              <w:rPr>
                <w:rFonts w:asciiTheme="majorHAnsi" w:hAnsiTheme="majorHAnsi" w:cstheme="majorHAnsi"/>
                <w:bCs/>
                <w:color w:val="000000" w:themeColor="text1"/>
                <w:sz w:val="16"/>
                <w:szCs w:val="16"/>
              </w:rPr>
              <w:t>$</w:t>
            </w:r>
            <w:r w:rsidR="00EC7B62" w:rsidRPr="00C74BE9">
              <w:rPr>
                <w:rFonts w:asciiTheme="majorHAnsi" w:hAnsiTheme="majorHAnsi" w:cstheme="majorHAnsi"/>
                <w:bCs/>
                <w:color w:val="000000" w:themeColor="text1"/>
                <w:sz w:val="16"/>
                <w:szCs w:val="16"/>
              </w:rPr>
              <w:t>898</w:t>
            </w:r>
            <w:r w:rsidRPr="00C74BE9">
              <w:rPr>
                <w:rFonts w:asciiTheme="majorHAnsi" w:hAnsiTheme="majorHAnsi" w:cstheme="majorHAnsi"/>
                <w:bCs/>
                <w:color w:val="000000" w:themeColor="text1"/>
                <w:sz w:val="16"/>
                <w:szCs w:val="16"/>
              </w:rPr>
              <w:t xml:space="preserve"> per </w:t>
            </w:r>
            <w:r w:rsidR="001F3C52" w:rsidRPr="00C74BE9">
              <w:rPr>
                <w:rFonts w:asciiTheme="majorHAnsi" w:hAnsiTheme="majorHAnsi" w:cstheme="majorHAnsi"/>
                <w:bCs/>
                <w:color w:val="000000" w:themeColor="text1"/>
                <w:sz w:val="16"/>
                <w:szCs w:val="16"/>
              </w:rPr>
              <w:t>Server*</w:t>
            </w:r>
          </w:p>
        </w:tc>
      </w:tr>
      <w:tr w:rsidR="00B34E5A" w:rsidRPr="00C74BE9" w14:paraId="4D39CAD3" w14:textId="77777777" w:rsidTr="006D60A4">
        <w:trPr>
          <w:trHeight w:val="656"/>
        </w:trPr>
        <w:tc>
          <w:tcPr>
            <w:tcW w:w="136" w:type="dxa"/>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center"/>
          </w:tcPr>
          <w:p w14:paraId="0E8923AF" w14:textId="77777777" w:rsidR="00962B82" w:rsidRPr="00C74BE9" w:rsidRDefault="00962B82" w:rsidP="00962B82">
            <w:pPr>
              <w:pStyle w:val="NoSpacing"/>
              <w:rPr>
                <w:rFonts w:asciiTheme="majorHAnsi" w:hAnsiTheme="majorHAnsi" w:cstheme="majorHAnsi"/>
                <w:b/>
                <w:bCs/>
                <w:color w:val="000000" w:themeColor="text1"/>
                <w:sz w:val="16"/>
                <w:szCs w:val="16"/>
              </w:rPr>
            </w:pPr>
          </w:p>
        </w:tc>
        <w:tc>
          <w:tcPr>
            <w:tcW w:w="810" w:type="dxa"/>
            <w:tcBorders>
              <w:top w:val="single" w:sz="4" w:space="0" w:color="FFFFFF" w:themeColor="background1"/>
              <w:left w:val="nil"/>
              <w:bottom w:val="single" w:sz="4" w:space="0" w:color="FFFFFF" w:themeColor="background1"/>
              <w:right w:val="single" w:sz="4" w:space="0" w:color="FFFFFF" w:themeColor="background1"/>
            </w:tcBorders>
            <w:shd w:val="clear" w:color="auto" w:fill="943634" w:themeFill="accent2" w:themeFillShade="BF"/>
            <w:vAlign w:val="center"/>
          </w:tcPr>
          <w:p w14:paraId="3E2A9AFC" w14:textId="77777777" w:rsidR="00962B82" w:rsidRPr="00C74BE9" w:rsidRDefault="00962B82" w:rsidP="00962B82">
            <w:pPr>
              <w:pStyle w:val="NoSpacing"/>
              <w:rPr>
                <w:rFonts w:asciiTheme="majorHAnsi" w:hAnsiTheme="majorHAnsi" w:cstheme="majorHAnsi"/>
                <w:b/>
                <w:bCs/>
                <w:color w:val="000000" w:themeColor="text1"/>
                <w:sz w:val="16"/>
                <w:szCs w:val="16"/>
              </w:rPr>
            </w:pP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388880C" w14:textId="77777777" w:rsidR="00962B82" w:rsidRPr="00C74BE9" w:rsidRDefault="001F3C52" w:rsidP="00962B82">
            <w:pPr>
              <w:pStyle w:val="NoSpacing"/>
              <w:ind w:left="32"/>
              <w:rPr>
                <w:rFonts w:asciiTheme="majorHAnsi" w:hAnsiTheme="majorHAnsi" w:cstheme="majorHAnsi"/>
                <w:bCs/>
                <w:color w:val="000000" w:themeColor="text1"/>
                <w:sz w:val="16"/>
                <w:szCs w:val="16"/>
              </w:rPr>
            </w:pPr>
            <w:r w:rsidRPr="00C74BE9">
              <w:rPr>
                <w:rFonts w:asciiTheme="majorHAnsi" w:hAnsiTheme="majorHAnsi" w:cstheme="majorHAnsi"/>
                <w:bCs/>
                <w:color w:val="000000" w:themeColor="text1"/>
                <w:sz w:val="16"/>
                <w:szCs w:val="16"/>
              </w:rPr>
              <w:t>Client Access License (CAL)</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7D7E750" w14:textId="77777777" w:rsidR="00962B82" w:rsidRPr="00C74BE9" w:rsidRDefault="00962B82">
            <w:pPr>
              <w:pStyle w:val="NoSpacing"/>
              <w:ind w:left="32"/>
              <w:rPr>
                <w:rFonts w:asciiTheme="majorHAnsi" w:hAnsiTheme="majorHAnsi" w:cstheme="majorHAnsi"/>
                <w:bCs/>
                <w:color w:val="000000" w:themeColor="text1"/>
                <w:sz w:val="16"/>
                <w:szCs w:val="16"/>
              </w:rPr>
            </w:pPr>
            <w:r w:rsidRPr="00C74BE9">
              <w:rPr>
                <w:rFonts w:asciiTheme="majorHAnsi" w:hAnsiTheme="majorHAnsi" w:cstheme="majorHAnsi"/>
                <w:bCs/>
                <w:color w:val="000000" w:themeColor="text1"/>
                <w:sz w:val="16"/>
                <w:szCs w:val="16"/>
              </w:rPr>
              <w:t xml:space="preserve">Access to SQL </w:t>
            </w:r>
            <w:r w:rsidR="001F3C52" w:rsidRPr="00C74BE9">
              <w:rPr>
                <w:rFonts w:asciiTheme="majorHAnsi" w:hAnsiTheme="majorHAnsi" w:cstheme="majorHAnsi"/>
                <w:bCs/>
                <w:color w:val="000000" w:themeColor="text1"/>
                <w:sz w:val="16"/>
                <w:szCs w:val="16"/>
              </w:rPr>
              <w:t>Server databases licensed per server</w:t>
            </w:r>
          </w:p>
        </w:tc>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0D1AF52" w14:textId="77777777" w:rsidR="00962B82" w:rsidRPr="00C74BE9" w:rsidRDefault="00962B82" w:rsidP="00962B82">
            <w:pPr>
              <w:pStyle w:val="NoSpacing"/>
              <w:rPr>
                <w:rFonts w:asciiTheme="majorHAnsi" w:hAnsiTheme="majorHAnsi" w:cstheme="majorHAnsi"/>
                <w:b/>
                <w:bCs/>
                <w:noProof/>
                <w:color w:val="943634" w:themeColor="accent2" w:themeShade="BF"/>
                <w:sz w:val="16"/>
                <w:szCs w:val="16"/>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73FACAA" w14:textId="77777777" w:rsidR="00962B82" w:rsidRPr="00C74BE9" w:rsidRDefault="00962B82" w:rsidP="00962B82">
            <w:pPr>
              <w:pStyle w:val="NoSpacing"/>
              <w:rPr>
                <w:rFonts w:asciiTheme="majorHAnsi" w:hAnsiTheme="majorHAnsi" w:cstheme="majorHAnsi"/>
                <w:b/>
                <w:bCs/>
                <w:noProof/>
                <w:color w:val="943634" w:themeColor="accent2" w:themeShade="BF"/>
                <w:sz w:val="16"/>
                <w:szCs w:val="16"/>
              </w:rPr>
            </w:pPr>
          </w:p>
        </w:tc>
        <w:tc>
          <w:tcPr>
            <w:tcW w:w="121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50CFC15C" w14:textId="77777777" w:rsidR="00962B82" w:rsidRPr="00C74BE9" w:rsidRDefault="00962B82" w:rsidP="00962B82">
            <w:pPr>
              <w:pStyle w:val="NoSpacing"/>
              <w:ind w:left="32"/>
              <w:rPr>
                <w:rFonts w:asciiTheme="majorHAnsi" w:hAnsiTheme="majorHAnsi" w:cstheme="majorHAnsi"/>
                <w:bCs/>
                <w:color w:val="000000" w:themeColor="text1"/>
                <w:sz w:val="16"/>
                <w:szCs w:val="16"/>
              </w:rPr>
            </w:pPr>
            <w:r w:rsidRPr="00C74BE9">
              <w:rPr>
                <w:rFonts w:asciiTheme="majorHAnsi" w:hAnsiTheme="majorHAnsi" w:cstheme="majorHAnsi"/>
                <w:bCs/>
                <w:color w:val="000000" w:themeColor="text1"/>
                <w:sz w:val="16"/>
                <w:szCs w:val="16"/>
              </w:rPr>
              <w:t>$209 per CAL</w:t>
            </w:r>
          </w:p>
        </w:tc>
      </w:tr>
    </w:tbl>
    <w:p w14:paraId="3D26E9C7" w14:textId="77777777" w:rsidR="00330120" w:rsidRDefault="001F3C52" w:rsidP="00834D56">
      <w:pPr>
        <w:pStyle w:val="Notes"/>
        <w:spacing w:before="0" w:after="0"/>
      </w:pPr>
      <w:r w:rsidRPr="001F3C52">
        <w:t>*</w:t>
      </w:r>
      <w:r>
        <w:t xml:space="preserve"> </w:t>
      </w:r>
      <w:r w:rsidRPr="00B1420E">
        <w:t>Requires CALs, which are sold separately</w:t>
      </w:r>
    </w:p>
    <w:p w14:paraId="18E34B11" w14:textId="77777777" w:rsidR="00834D56" w:rsidRPr="00B1420E" w:rsidRDefault="00834D56" w:rsidP="00834D56">
      <w:pPr>
        <w:pStyle w:val="Notes"/>
        <w:spacing w:before="0" w:after="0"/>
      </w:pPr>
      <w:r>
        <w:t>**Pricing is for demonstrative uses only</w:t>
      </w:r>
    </w:p>
    <w:tbl>
      <w:tblPr>
        <w:tblStyle w:val="TableGrid"/>
        <w:tblW w:w="270" w:type="dxa"/>
        <w:tblInd w:w="-212" w:type="dxa"/>
        <w:tblLayout w:type="fixed"/>
        <w:tblCellMar>
          <w:left w:w="58" w:type="dxa"/>
          <w:right w:w="58" w:type="dxa"/>
        </w:tblCellMar>
        <w:tblLook w:val="04A0" w:firstRow="1" w:lastRow="0" w:firstColumn="1" w:lastColumn="0" w:noHBand="0" w:noVBand="1"/>
      </w:tblPr>
      <w:tblGrid>
        <w:gridCol w:w="270"/>
      </w:tblGrid>
      <w:tr w:rsidR="00962B82" w:rsidRPr="009548DB" w14:paraId="014BD96E" w14:textId="77777777" w:rsidTr="00B1420E">
        <w:trPr>
          <w:trHeight w:val="270"/>
        </w:trPr>
        <w:tc>
          <w:tcPr>
            <w:tcW w:w="270" w:type="dxa"/>
            <w:vMerge w:val="restart"/>
            <w:tcBorders>
              <w:top w:val="nil"/>
              <w:left w:val="nil"/>
              <w:bottom w:val="single" w:sz="4" w:space="0" w:color="FFFFFF" w:themeColor="background1"/>
              <w:right w:val="single" w:sz="4" w:space="0" w:color="FFFFFF" w:themeColor="background1"/>
            </w:tcBorders>
            <w:shd w:val="clear" w:color="auto" w:fill="FFFFFF" w:themeFill="background1"/>
            <w:vAlign w:val="center"/>
          </w:tcPr>
          <w:p w14:paraId="62C3817F" w14:textId="77777777" w:rsidR="00962B82" w:rsidRPr="009B15F0" w:rsidRDefault="00962B82" w:rsidP="0018165A">
            <w:pPr>
              <w:pStyle w:val="NoSpacing"/>
              <w:rPr>
                <w:rFonts w:asciiTheme="majorHAnsi" w:hAnsiTheme="majorHAnsi" w:cstheme="majorHAnsi"/>
                <w:b/>
                <w:bCs/>
                <w:color w:val="FFFFFF" w:themeColor="background1"/>
              </w:rPr>
            </w:pPr>
          </w:p>
        </w:tc>
      </w:tr>
      <w:tr w:rsidR="00962B82" w:rsidRPr="009548DB" w14:paraId="33EA1492" w14:textId="77777777" w:rsidTr="00B1420E">
        <w:trPr>
          <w:trHeight w:val="270"/>
        </w:trPr>
        <w:tc>
          <w:tcPr>
            <w:tcW w:w="270" w:type="dxa"/>
            <w:vMerge/>
            <w:tcBorders>
              <w:top w:val="single" w:sz="4" w:space="0" w:color="FFFFFF" w:themeColor="background1"/>
              <w:left w:val="nil"/>
              <w:bottom w:val="nil"/>
              <w:right w:val="single" w:sz="4" w:space="0" w:color="FFFFFF" w:themeColor="background1"/>
            </w:tcBorders>
            <w:shd w:val="clear" w:color="auto" w:fill="FFFFFF" w:themeFill="background1"/>
            <w:vAlign w:val="center"/>
          </w:tcPr>
          <w:p w14:paraId="55E100D7" w14:textId="77777777" w:rsidR="00962B82" w:rsidRPr="002F43F4" w:rsidRDefault="00962B82" w:rsidP="0018165A">
            <w:pPr>
              <w:pStyle w:val="NoSpacing"/>
              <w:rPr>
                <w:rFonts w:asciiTheme="majorHAnsi" w:hAnsiTheme="majorHAnsi" w:cstheme="majorHAnsi"/>
                <w:bCs/>
                <w:color w:val="FFFFFF" w:themeColor="background1"/>
              </w:rPr>
            </w:pPr>
          </w:p>
        </w:tc>
      </w:tr>
    </w:tbl>
    <w:p w14:paraId="3623E986" w14:textId="77777777" w:rsidR="00C10690" w:rsidRPr="00F23CFE" w:rsidRDefault="00C10690" w:rsidP="00F23CFE">
      <w:pPr>
        <w:pStyle w:val="Heading3"/>
      </w:pPr>
      <w:r w:rsidRPr="00F23CFE">
        <w:t>Core-Based Licensing</w:t>
      </w:r>
    </w:p>
    <w:p w14:paraId="1AC29445" w14:textId="77777777" w:rsidR="00C10690" w:rsidRDefault="00C10690" w:rsidP="00F82BA9">
      <w:pPr>
        <w:pStyle w:val="VLBodyBullet"/>
      </w:pPr>
      <w:r w:rsidRPr="00C10690">
        <w:t xml:space="preserve">The Enterprise Edition and Standard Edition of SQL Server 2012 will both </w:t>
      </w:r>
      <w:r w:rsidR="002A49D2">
        <w:t xml:space="preserve">be </w:t>
      </w:r>
      <w:r w:rsidR="002A49D2" w:rsidRPr="00EE7C45">
        <w:t>available</w:t>
      </w:r>
      <w:r w:rsidR="002A49D2">
        <w:t xml:space="preserve"> under</w:t>
      </w:r>
      <w:r w:rsidRPr="00C10690">
        <w:t xml:space="preserve"> core-based licens</w:t>
      </w:r>
      <w:r w:rsidR="002A49D2">
        <w:t>ing</w:t>
      </w:r>
      <w:r w:rsidRPr="00C10690">
        <w:t xml:space="preserve">. Core-based licenses will be sold in two-core packs.  </w:t>
      </w:r>
    </w:p>
    <w:p w14:paraId="35BEE5B2" w14:textId="77777777" w:rsidR="008248D0" w:rsidRPr="00C10690" w:rsidRDefault="008248D0" w:rsidP="00F82BA9">
      <w:pPr>
        <w:pStyle w:val="VLBodyBullet"/>
      </w:pPr>
      <w:r>
        <w:lastRenderedPageBreak/>
        <w:t>Core based licensing is appropriate when customers are unable to count users/devices, have Internet/Extranet facing workloads or systems that integrate with external facing workloads.</w:t>
      </w:r>
    </w:p>
    <w:p w14:paraId="777EB434" w14:textId="77777777" w:rsidR="00C10690" w:rsidRDefault="00C10690" w:rsidP="00F82BA9">
      <w:pPr>
        <w:pStyle w:val="VLBodyBullet"/>
      </w:pPr>
      <w:r w:rsidRPr="00C10690">
        <w:t>To license a physical server, you must license all the cores in the server with a minimum of 4 core licenses required for each physical processor in the server. </w:t>
      </w:r>
    </w:p>
    <w:p w14:paraId="52D4273A" w14:textId="77777777" w:rsidR="00834D56" w:rsidRDefault="00834D56" w:rsidP="00F82BA9">
      <w:pPr>
        <w:pStyle w:val="VLBodyBullet"/>
      </w:pPr>
      <w:r>
        <w:t>Core licenses will be priced at ¼ the cost of a SQL Server 2008 R2 (EE/SE) processor license.</w:t>
      </w:r>
    </w:p>
    <w:p w14:paraId="4EC03240" w14:textId="37F726A9" w:rsidR="00693E25" w:rsidRDefault="00693E25" w:rsidP="00F82BA9">
      <w:pPr>
        <w:pStyle w:val="VLBodyBullet"/>
      </w:pPr>
      <w:r>
        <w:t xml:space="preserve">AMD systems have different </w:t>
      </w:r>
      <w:r w:rsidR="00A93CAC">
        <w:t>requirements;</w:t>
      </w:r>
      <w:r>
        <w:t xml:space="preserve"> see SQL Server 2012 Quick Reference Guide.</w:t>
      </w:r>
    </w:p>
    <w:p w14:paraId="2FF1AB1F" w14:textId="77777777" w:rsidR="0058557C" w:rsidRPr="0058557C" w:rsidRDefault="0058557C" w:rsidP="0058557C"/>
    <w:tbl>
      <w:tblPr>
        <w:tblStyle w:val="TableGrid"/>
        <w:tblW w:w="0" w:type="auto"/>
        <w:tblInd w:w="108"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none" w:sz="0" w:space="0" w:color="auto"/>
          <w:insideV w:val="none" w:sz="0" w:space="0" w:color="auto"/>
        </w:tblBorders>
        <w:tblLook w:val="04A0" w:firstRow="1" w:lastRow="0" w:firstColumn="1" w:lastColumn="0" w:noHBand="0" w:noVBand="1"/>
      </w:tblPr>
      <w:tblGrid>
        <w:gridCol w:w="1620"/>
        <w:gridCol w:w="3606"/>
      </w:tblGrid>
      <w:tr w:rsidR="0058557C" w14:paraId="54016BC9" w14:textId="77777777" w:rsidTr="0058557C">
        <w:tc>
          <w:tcPr>
            <w:tcW w:w="5220" w:type="dxa"/>
            <w:gridSpan w:val="2"/>
            <w:vAlign w:val="center"/>
          </w:tcPr>
          <w:p w14:paraId="653E8FF0" w14:textId="77777777" w:rsidR="0058557C" w:rsidRPr="00E15E39" w:rsidRDefault="0058557C" w:rsidP="0058557C">
            <w:pPr>
              <w:autoSpaceDE w:val="0"/>
              <w:autoSpaceDN w:val="0"/>
              <w:adjustRightInd w:val="0"/>
              <w:spacing w:after="0" w:line="240" w:lineRule="auto"/>
              <w:rPr>
                <w:rFonts w:cstheme="minorHAnsi"/>
                <w:b/>
                <w:bCs/>
                <w:color w:val="404040" w:themeColor="text1" w:themeTint="BF"/>
                <w:sz w:val="20"/>
                <w:szCs w:val="20"/>
              </w:rPr>
            </w:pPr>
            <w:r w:rsidRPr="00E15E39">
              <w:rPr>
                <w:rFonts w:cstheme="minorHAnsi"/>
                <w:b/>
                <w:bCs/>
                <w:color w:val="404040" w:themeColor="text1" w:themeTint="BF"/>
                <w:sz w:val="20"/>
                <w:szCs w:val="20"/>
              </w:rPr>
              <w:t>How to license</w:t>
            </w:r>
          </w:p>
          <w:p w14:paraId="2C24D590" w14:textId="77777777" w:rsidR="0058557C" w:rsidRPr="00E15E39" w:rsidRDefault="0058557C" w:rsidP="00B838C1">
            <w:pPr>
              <w:pStyle w:val="ListParagraph"/>
              <w:numPr>
                <w:ilvl w:val="0"/>
                <w:numId w:val="6"/>
              </w:numPr>
              <w:autoSpaceDE w:val="0"/>
              <w:autoSpaceDN w:val="0"/>
              <w:adjustRightInd w:val="0"/>
              <w:spacing w:after="0" w:line="240" w:lineRule="auto"/>
              <w:ind w:left="432" w:hanging="270"/>
              <w:rPr>
                <w:rFonts w:cstheme="minorHAnsi"/>
                <w:color w:val="404040" w:themeColor="text1" w:themeTint="BF"/>
                <w:sz w:val="20"/>
                <w:szCs w:val="20"/>
              </w:rPr>
            </w:pPr>
            <w:r w:rsidRPr="00E15E39">
              <w:rPr>
                <w:rFonts w:cstheme="minorHAnsi"/>
                <w:color w:val="404040" w:themeColor="text1" w:themeTint="BF"/>
                <w:sz w:val="20"/>
                <w:szCs w:val="20"/>
              </w:rPr>
              <w:t>License all of the physical cores on the</w:t>
            </w:r>
            <w:r w:rsidR="00B509EA" w:rsidRPr="00E15E39">
              <w:rPr>
                <w:rFonts w:cstheme="minorHAnsi"/>
                <w:color w:val="404040" w:themeColor="text1" w:themeTint="BF"/>
                <w:sz w:val="20"/>
                <w:szCs w:val="20"/>
              </w:rPr>
              <w:t xml:space="preserve"> </w:t>
            </w:r>
            <w:r w:rsidRPr="00E15E39">
              <w:rPr>
                <w:rFonts w:cstheme="minorHAnsi"/>
                <w:color w:val="404040" w:themeColor="text1" w:themeTint="BF"/>
                <w:sz w:val="20"/>
                <w:szCs w:val="20"/>
              </w:rPr>
              <w:t>hardware</w:t>
            </w:r>
          </w:p>
          <w:p w14:paraId="1C21B3F4" w14:textId="77777777" w:rsidR="0058557C" w:rsidRPr="00B509EA" w:rsidRDefault="0058557C" w:rsidP="00B838C1">
            <w:pPr>
              <w:pStyle w:val="ListParagraph"/>
              <w:numPr>
                <w:ilvl w:val="0"/>
                <w:numId w:val="6"/>
              </w:numPr>
              <w:autoSpaceDE w:val="0"/>
              <w:autoSpaceDN w:val="0"/>
              <w:adjustRightInd w:val="0"/>
              <w:spacing w:after="0" w:line="240" w:lineRule="auto"/>
              <w:ind w:left="432" w:hanging="270"/>
              <w:rPr>
                <w:rFonts w:cstheme="minorHAnsi"/>
                <w:color w:val="404040" w:themeColor="text1" w:themeTint="BF"/>
                <w:szCs w:val="20"/>
              </w:rPr>
            </w:pPr>
            <w:r w:rsidRPr="00E15E39">
              <w:rPr>
                <w:rFonts w:cstheme="minorHAnsi"/>
                <w:color w:val="404040" w:themeColor="text1" w:themeTint="BF"/>
                <w:sz w:val="20"/>
                <w:szCs w:val="20"/>
              </w:rPr>
              <w:t>A minimum of 4 core licenses are required per</w:t>
            </w:r>
            <w:r w:rsidR="00B509EA" w:rsidRPr="00E15E39">
              <w:rPr>
                <w:rFonts w:cstheme="minorHAnsi"/>
                <w:color w:val="404040" w:themeColor="text1" w:themeTint="BF"/>
                <w:sz w:val="20"/>
                <w:szCs w:val="20"/>
              </w:rPr>
              <w:t xml:space="preserve"> </w:t>
            </w:r>
            <w:r w:rsidRPr="00E15E39">
              <w:rPr>
                <w:rFonts w:cstheme="minorHAnsi"/>
                <w:color w:val="404040" w:themeColor="text1" w:themeTint="BF"/>
                <w:sz w:val="20"/>
                <w:szCs w:val="20"/>
              </w:rPr>
              <w:t>physical processor</w:t>
            </w:r>
          </w:p>
        </w:tc>
      </w:tr>
      <w:tr w:rsidR="0058557C" w14:paraId="6C95BB97" w14:textId="77777777" w:rsidTr="0058557C">
        <w:tc>
          <w:tcPr>
            <w:tcW w:w="1620" w:type="dxa"/>
            <w:vAlign w:val="center"/>
          </w:tcPr>
          <w:p w14:paraId="5590D72F" w14:textId="77777777" w:rsidR="0058557C" w:rsidRPr="0058557C" w:rsidRDefault="0058557C" w:rsidP="0058557C">
            <w:pPr>
              <w:jc w:val="center"/>
              <w:rPr>
                <w:color w:val="404040" w:themeColor="text1" w:themeTint="BF"/>
              </w:rPr>
            </w:pPr>
          </w:p>
        </w:tc>
        <w:tc>
          <w:tcPr>
            <w:tcW w:w="3600" w:type="dxa"/>
            <w:vAlign w:val="center"/>
          </w:tcPr>
          <w:p w14:paraId="309C05C2" w14:textId="77777777" w:rsidR="0058557C" w:rsidRPr="0058557C" w:rsidRDefault="0058557C" w:rsidP="00E15E39">
            <w:pPr>
              <w:spacing w:before="120"/>
              <w:jc w:val="center"/>
              <w:rPr>
                <w:color w:val="404040" w:themeColor="text1" w:themeTint="BF"/>
              </w:rPr>
            </w:pPr>
            <w:r w:rsidRPr="0058557C">
              <w:rPr>
                <w:noProof/>
                <w:color w:val="404040" w:themeColor="text1" w:themeTint="BF"/>
              </w:rPr>
              <w:drawing>
                <wp:inline distT="0" distB="0" distL="0" distR="0" wp14:anchorId="04508750" wp14:editId="04508751">
                  <wp:extent cx="2125277" cy="436491"/>
                  <wp:effectExtent l="19050" t="0" r="8323"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138987" cy="439307"/>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58557C" w14:paraId="1B2E026D" w14:textId="77777777" w:rsidTr="00061118">
        <w:tc>
          <w:tcPr>
            <w:tcW w:w="1620" w:type="dxa"/>
            <w:tcBorders>
              <w:bottom w:val="single" w:sz="4" w:space="0" w:color="BFBFBF" w:themeColor="background1" w:themeShade="BF"/>
            </w:tcBorders>
            <w:vAlign w:val="center"/>
          </w:tcPr>
          <w:p w14:paraId="474A8112" w14:textId="77777777" w:rsidR="0058557C" w:rsidRPr="0058557C" w:rsidRDefault="0058557C" w:rsidP="0058557C">
            <w:pPr>
              <w:autoSpaceDE w:val="0"/>
              <w:autoSpaceDN w:val="0"/>
              <w:adjustRightInd w:val="0"/>
              <w:spacing w:after="0" w:line="240" w:lineRule="auto"/>
              <w:rPr>
                <w:rFonts w:cstheme="minorHAnsi"/>
                <w:b/>
                <w:bCs/>
                <w:color w:val="404040" w:themeColor="text1" w:themeTint="BF"/>
                <w:sz w:val="16"/>
                <w:szCs w:val="20"/>
              </w:rPr>
            </w:pPr>
            <w:r w:rsidRPr="0058557C">
              <w:rPr>
                <w:rFonts w:cstheme="minorHAnsi"/>
                <w:b/>
                <w:bCs/>
                <w:color w:val="404040" w:themeColor="text1" w:themeTint="BF"/>
                <w:sz w:val="16"/>
                <w:szCs w:val="20"/>
              </w:rPr>
              <w:t>PHYSICAL</w:t>
            </w:r>
          </w:p>
          <w:p w14:paraId="10467B10" w14:textId="77777777" w:rsidR="0058557C" w:rsidRPr="0058557C" w:rsidRDefault="0058557C" w:rsidP="0058557C">
            <w:pPr>
              <w:autoSpaceDE w:val="0"/>
              <w:autoSpaceDN w:val="0"/>
              <w:adjustRightInd w:val="0"/>
              <w:spacing w:after="0" w:line="240" w:lineRule="auto"/>
              <w:rPr>
                <w:rFonts w:cstheme="minorHAnsi"/>
                <w:b/>
                <w:bCs/>
                <w:color w:val="404040" w:themeColor="text1" w:themeTint="BF"/>
                <w:sz w:val="16"/>
                <w:szCs w:val="20"/>
              </w:rPr>
            </w:pPr>
            <w:r w:rsidRPr="0058557C">
              <w:rPr>
                <w:rFonts w:cstheme="minorHAnsi"/>
                <w:b/>
                <w:bCs/>
                <w:color w:val="404040" w:themeColor="text1" w:themeTint="BF"/>
                <w:sz w:val="16"/>
                <w:szCs w:val="20"/>
              </w:rPr>
              <w:t>CORES IN THE</w:t>
            </w:r>
          </w:p>
          <w:p w14:paraId="7AEBE163" w14:textId="77777777" w:rsidR="0058557C" w:rsidRPr="0058557C" w:rsidRDefault="0058557C" w:rsidP="0058557C">
            <w:pPr>
              <w:rPr>
                <w:rFonts w:cstheme="minorHAnsi"/>
                <w:b/>
                <w:bCs/>
                <w:color w:val="404040" w:themeColor="text1" w:themeTint="BF"/>
                <w:sz w:val="16"/>
                <w:szCs w:val="20"/>
              </w:rPr>
            </w:pPr>
            <w:r w:rsidRPr="0058557C">
              <w:rPr>
                <w:rFonts w:cstheme="minorHAnsi"/>
                <w:b/>
                <w:bCs/>
                <w:color w:val="404040" w:themeColor="text1" w:themeTint="BF"/>
                <w:sz w:val="16"/>
                <w:szCs w:val="20"/>
              </w:rPr>
              <w:t>PROCESSOR:</w:t>
            </w:r>
          </w:p>
        </w:tc>
        <w:tc>
          <w:tcPr>
            <w:tcW w:w="3600" w:type="dxa"/>
            <w:tcBorders>
              <w:bottom w:val="single" w:sz="4" w:space="0" w:color="BFBFBF" w:themeColor="background1" w:themeShade="BF"/>
            </w:tcBorders>
            <w:vAlign w:val="center"/>
          </w:tcPr>
          <w:p w14:paraId="4632853B" w14:textId="77777777" w:rsidR="0058557C" w:rsidRPr="0058557C" w:rsidRDefault="0058557C" w:rsidP="0075228E">
            <w:pPr>
              <w:rPr>
                <w:color w:val="404040" w:themeColor="text1" w:themeTint="BF"/>
              </w:rPr>
            </w:pPr>
            <w:r w:rsidRPr="0058557C">
              <w:rPr>
                <w:color w:val="404040" w:themeColor="text1" w:themeTint="BF"/>
              </w:rPr>
              <w:t xml:space="preserve">    </w:t>
            </w:r>
            <w:r w:rsidR="0075228E">
              <w:rPr>
                <w:color w:val="404040" w:themeColor="text1" w:themeTint="BF"/>
              </w:rPr>
              <w:t>1</w:t>
            </w:r>
            <w:r w:rsidRPr="0058557C">
              <w:rPr>
                <w:color w:val="404040" w:themeColor="text1" w:themeTint="BF"/>
              </w:rPr>
              <w:t xml:space="preserve">          </w:t>
            </w:r>
            <w:r w:rsidR="0075228E">
              <w:rPr>
                <w:color w:val="404040" w:themeColor="text1" w:themeTint="BF"/>
              </w:rPr>
              <w:t>2</w:t>
            </w:r>
            <w:r w:rsidRPr="0058557C">
              <w:rPr>
                <w:color w:val="404040" w:themeColor="text1" w:themeTint="BF"/>
              </w:rPr>
              <w:t xml:space="preserve">           4            </w:t>
            </w:r>
            <w:r w:rsidR="0075228E">
              <w:rPr>
                <w:color w:val="404040" w:themeColor="text1" w:themeTint="BF"/>
              </w:rPr>
              <w:t>6</w:t>
            </w:r>
            <w:r w:rsidRPr="0058557C">
              <w:rPr>
                <w:color w:val="404040" w:themeColor="text1" w:themeTint="BF"/>
              </w:rPr>
              <w:t xml:space="preserve">      </w:t>
            </w:r>
            <w:r w:rsidR="0075228E">
              <w:rPr>
                <w:color w:val="404040" w:themeColor="text1" w:themeTint="BF"/>
              </w:rPr>
              <w:t xml:space="preserve"> </w:t>
            </w:r>
            <w:r w:rsidRPr="0058557C">
              <w:rPr>
                <w:color w:val="404040" w:themeColor="text1" w:themeTint="BF"/>
              </w:rPr>
              <w:t xml:space="preserve">   </w:t>
            </w:r>
            <w:r w:rsidR="0075228E">
              <w:rPr>
                <w:color w:val="404040" w:themeColor="text1" w:themeTint="BF"/>
              </w:rPr>
              <w:t xml:space="preserve"> </w:t>
            </w:r>
            <w:r w:rsidRPr="0058557C">
              <w:rPr>
                <w:color w:val="404040" w:themeColor="text1" w:themeTint="BF"/>
              </w:rPr>
              <w:t xml:space="preserve">  </w:t>
            </w:r>
            <w:r w:rsidR="0075228E">
              <w:rPr>
                <w:color w:val="404040" w:themeColor="text1" w:themeTint="BF"/>
              </w:rPr>
              <w:t>8</w:t>
            </w:r>
          </w:p>
        </w:tc>
      </w:tr>
      <w:tr w:rsidR="0058557C" w14:paraId="5CD00295" w14:textId="77777777" w:rsidTr="00061118">
        <w:tc>
          <w:tcPr>
            <w:tcW w:w="1620" w:type="dxa"/>
            <w:tcBorders>
              <w:top w:val="single" w:sz="4" w:space="0" w:color="BFBFBF" w:themeColor="background1" w:themeShade="BF"/>
              <w:bottom w:val="single" w:sz="4" w:space="0" w:color="943634" w:themeColor="accent2" w:themeShade="BF"/>
            </w:tcBorders>
            <w:vAlign w:val="center"/>
          </w:tcPr>
          <w:p w14:paraId="4F1FC8D8" w14:textId="77777777" w:rsidR="0058557C" w:rsidRPr="0058557C" w:rsidRDefault="0058557C" w:rsidP="0058557C">
            <w:pPr>
              <w:autoSpaceDE w:val="0"/>
              <w:autoSpaceDN w:val="0"/>
              <w:adjustRightInd w:val="0"/>
              <w:spacing w:after="0" w:line="240" w:lineRule="auto"/>
              <w:rPr>
                <w:rFonts w:cstheme="minorHAnsi"/>
                <w:b/>
                <w:bCs/>
                <w:color w:val="404040" w:themeColor="text1" w:themeTint="BF"/>
                <w:sz w:val="16"/>
                <w:szCs w:val="20"/>
              </w:rPr>
            </w:pPr>
            <w:r w:rsidRPr="0058557C">
              <w:rPr>
                <w:rFonts w:cstheme="minorHAnsi"/>
                <w:b/>
                <w:bCs/>
                <w:color w:val="404040" w:themeColor="text1" w:themeTint="BF"/>
                <w:sz w:val="16"/>
                <w:szCs w:val="20"/>
              </w:rPr>
              <w:t>CORE LICENSES</w:t>
            </w:r>
          </w:p>
          <w:p w14:paraId="1168D79F" w14:textId="77777777" w:rsidR="0058557C" w:rsidRPr="0058557C" w:rsidRDefault="0058557C" w:rsidP="0058557C">
            <w:pPr>
              <w:rPr>
                <w:rFonts w:cstheme="minorHAnsi"/>
                <w:b/>
                <w:bCs/>
                <w:color w:val="404040" w:themeColor="text1" w:themeTint="BF"/>
                <w:sz w:val="16"/>
                <w:szCs w:val="20"/>
              </w:rPr>
            </w:pPr>
            <w:r w:rsidRPr="0058557C">
              <w:rPr>
                <w:rFonts w:cstheme="minorHAnsi"/>
                <w:b/>
                <w:bCs/>
                <w:color w:val="404040" w:themeColor="text1" w:themeTint="BF"/>
                <w:sz w:val="16"/>
                <w:szCs w:val="20"/>
              </w:rPr>
              <w:t>REQUIRED</w:t>
            </w:r>
          </w:p>
        </w:tc>
        <w:tc>
          <w:tcPr>
            <w:tcW w:w="3600" w:type="dxa"/>
            <w:tcBorders>
              <w:top w:val="single" w:sz="4" w:space="0" w:color="BFBFBF" w:themeColor="background1" w:themeShade="BF"/>
              <w:bottom w:val="single" w:sz="4" w:space="0" w:color="943634" w:themeColor="accent2" w:themeShade="BF"/>
            </w:tcBorders>
            <w:vAlign w:val="center"/>
          </w:tcPr>
          <w:p w14:paraId="7E24975F" w14:textId="77777777" w:rsidR="0058557C" w:rsidRPr="0058557C" w:rsidRDefault="0058557C" w:rsidP="0075228E">
            <w:pPr>
              <w:rPr>
                <w:color w:val="404040" w:themeColor="text1" w:themeTint="BF"/>
              </w:rPr>
            </w:pPr>
            <w:r w:rsidRPr="0058557C">
              <w:rPr>
                <w:color w:val="404040" w:themeColor="text1" w:themeTint="BF"/>
              </w:rPr>
              <w:t xml:space="preserve">    </w:t>
            </w:r>
            <w:r w:rsidR="0075228E">
              <w:rPr>
                <w:color w:val="404040" w:themeColor="text1" w:themeTint="BF"/>
              </w:rPr>
              <w:t>4</w:t>
            </w:r>
            <w:r w:rsidRPr="0058557C">
              <w:rPr>
                <w:color w:val="404040" w:themeColor="text1" w:themeTint="BF"/>
              </w:rPr>
              <w:t xml:space="preserve">          </w:t>
            </w:r>
            <w:r w:rsidR="0075228E">
              <w:rPr>
                <w:color w:val="404040" w:themeColor="text1" w:themeTint="BF"/>
              </w:rPr>
              <w:t>4</w:t>
            </w:r>
            <w:r w:rsidR="00061118">
              <w:rPr>
                <w:color w:val="404040" w:themeColor="text1" w:themeTint="BF"/>
              </w:rPr>
              <w:t xml:space="preserve">           4            </w:t>
            </w:r>
            <w:r w:rsidR="0075228E">
              <w:rPr>
                <w:color w:val="404040" w:themeColor="text1" w:themeTint="BF"/>
              </w:rPr>
              <w:t>6</w:t>
            </w:r>
            <w:r w:rsidRPr="0058557C">
              <w:rPr>
                <w:color w:val="404040" w:themeColor="text1" w:themeTint="BF"/>
              </w:rPr>
              <w:t xml:space="preserve">  </w:t>
            </w:r>
            <w:r w:rsidR="00061118">
              <w:rPr>
                <w:color w:val="404040" w:themeColor="text1" w:themeTint="BF"/>
              </w:rPr>
              <w:t xml:space="preserve">   </w:t>
            </w:r>
            <w:r w:rsidRPr="0058557C">
              <w:rPr>
                <w:color w:val="404040" w:themeColor="text1" w:themeTint="BF"/>
              </w:rPr>
              <w:t xml:space="preserve">        </w:t>
            </w:r>
            <w:r w:rsidR="0075228E">
              <w:rPr>
                <w:color w:val="404040" w:themeColor="text1" w:themeTint="BF"/>
              </w:rPr>
              <w:t>8</w:t>
            </w:r>
          </w:p>
        </w:tc>
      </w:tr>
    </w:tbl>
    <w:p w14:paraId="32FFFDB3" w14:textId="77777777" w:rsidR="00F23CFE" w:rsidRPr="00F23CFE" w:rsidRDefault="00F23CFE" w:rsidP="00F23CFE"/>
    <w:p w14:paraId="21B48143" w14:textId="77777777" w:rsidR="007B1BF1" w:rsidRPr="00F23CFE" w:rsidRDefault="00AA5D6A" w:rsidP="00F23CFE">
      <w:pPr>
        <w:pStyle w:val="Heading3"/>
      </w:pPr>
      <w:r w:rsidRPr="00F23CFE">
        <w:t>Server</w:t>
      </w:r>
      <w:r w:rsidR="001F3C52" w:rsidRPr="00F23CFE">
        <w:t xml:space="preserve"> and </w:t>
      </w:r>
      <w:r w:rsidRPr="00F23CFE">
        <w:t>Client Access License (</w:t>
      </w:r>
      <w:r w:rsidR="007B1BF1" w:rsidRPr="00F23CFE">
        <w:t>CAL</w:t>
      </w:r>
      <w:r w:rsidRPr="00F23CFE">
        <w:t xml:space="preserve">) </w:t>
      </w:r>
      <w:r w:rsidR="007B1BF1" w:rsidRPr="00F23CFE">
        <w:t>Licensing</w:t>
      </w:r>
      <w:r w:rsidR="00DC50AB" w:rsidRPr="00F23CFE">
        <w:t xml:space="preserve"> </w:t>
      </w:r>
    </w:p>
    <w:p w14:paraId="24CFBAE3" w14:textId="77777777" w:rsidR="00C10690" w:rsidRPr="00C10690" w:rsidRDefault="00286092" w:rsidP="00B509EA">
      <w:pPr>
        <w:pStyle w:val="VLBodyBullet"/>
      </w:pPr>
      <w:r w:rsidRPr="00C10690">
        <w:t>The Business Intelligence and Standard Editions will be available under the Server</w:t>
      </w:r>
      <w:r w:rsidR="001F3C52">
        <w:t xml:space="preserve"> and </w:t>
      </w:r>
      <w:r w:rsidRPr="00C10690">
        <w:t xml:space="preserve">Client Access License (CAL) model.  </w:t>
      </w:r>
    </w:p>
    <w:p w14:paraId="50415E3F" w14:textId="77777777" w:rsidR="00C10690" w:rsidRPr="00C10690" w:rsidRDefault="00286092" w:rsidP="00B509EA">
      <w:pPr>
        <w:pStyle w:val="VLBodyBullet"/>
      </w:pPr>
      <w:r w:rsidRPr="00C10690">
        <w:t xml:space="preserve">This licensing model can be used </w:t>
      </w:r>
      <w:r w:rsidR="00B768B9" w:rsidRPr="00C10690">
        <w:t xml:space="preserve">when </w:t>
      </w:r>
      <w:r w:rsidRPr="00C10690">
        <w:t>the number of users can be readily counted (e.g., internal database applications). </w:t>
      </w:r>
    </w:p>
    <w:p w14:paraId="76C9712C" w14:textId="77777777" w:rsidR="00C10690" w:rsidRPr="00C10690" w:rsidRDefault="00286092" w:rsidP="00B509EA">
      <w:pPr>
        <w:pStyle w:val="VLBodyBullet"/>
      </w:pPr>
      <w:r w:rsidRPr="00C10690">
        <w:t xml:space="preserve">To access a licensed SQL Server, each user must have a SQL Server CAL that is the same version or newer (for example, to access a SQL Server 2008 SE server, a user would need a SQL Server 2008 or 2012 CAL).  </w:t>
      </w:r>
    </w:p>
    <w:p w14:paraId="2907A078" w14:textId="77777777" w:rsidR="00C10690" w:rsidRDefault="00286092" w:rsidP="00B509EA">
      <w:pPr>
        <w:pStyle w:val="VLBodyBullet"/>
      </w:pPr>
      <w:r w:rsidRPr="00C10690">
        <w:t xml:space="preserve">Each SQL Server CAL can provide access to multiple licensed SQL Servers, including the new Business Intelligence </w:t>
      </w:r>
      <w:r w:rsidR="005D29D8">
        <w:t>Edition</w:t>
      </w:r>
      <w:r w:rsidRPr="00C10690">
        <w:t xml:space="preserve"> as well as </w:t>
      </w:r>
      <w:r w:rsidR="001F3C52">
        <w:lastRenderedPageBreak/>
        <w:t>Standard Edition Servers and legacy Enterprise Edition Servers</w:t>
      </w:r>
      <w:r w:rsidRPr="00C10690">
        <w:t xml:space="preserve">. </w:t>
      </w:r>
    </w:p>
    <w:p w14:paraId="24A3DC42" w14:textId="77777777" w:rsidR="00834D56" w:rsidRPr="00C10690" w:rsidRDefault="00834D56" w:rsidP="00B509EA">
      <w:pPr>
        <w:pStyle w:val="VLBodyBullet"/>
      </w:pPr>
      <w:r>
        <w:t xml:space="preserve">The SQL Server 2012 CAL price will increase </w:t>
      </w:r>
      <w:r w:rsidR="002D5517">
        <w:t>by about 27%.</w:t>
      </w:r>
    </w:p>
    <w:tbl>
      <w:tblPr>
        <w:tblStyle w:val="TableGrid"/>
        <w:tblW w:w="0" w:type="auto"/>
        <w:tblInd w:w="108"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none" w:sz="0" w:space="0" w:color="auto"/>
          <w:insideV w:val="none" w:sz="0" w:space="0" w:color="auto"/>
        </w:tblBorders>
        <w:tblLook w:val="04A0" w:firstRow="1" w:lastRow="0" w:firstColumn="1" w:lastColumn="0" w:noHBand="0" w:noVBand="1"/>
      </w:tblPr>
      <w:tblGrid>
        <w:gridCol w:w="5220"/>
      </w:tblGrid>
      <w:tr w:rsidR="00B509EA" w14:paraId="2B9DE034" w14:textId="77777777" w:rsidTr="00EE7C45">
        <w:tc>
          <w:tcPr>
            <w:tcW w:w="5220" w:type="dxa"/>
            <w:vAlign w:val="center"/>
          </w:tcPr>
          <w:p w14:paraId="3D45A073" w14:textId="77777777" w:rsidR="00B509EA" w:rsidRPr="00E15E39" w:rsidRDefault="00B509EA" w:rsidP="00EE7C45">
            <w:pPr>
              <w:autoSpaceDE w:val="0"/>
              <w:autoSpaceDN w:val="0"/>
              <w:adjustRightInd w:val="0"/>
              <w:spacing w:after="0" w:line="240" w:lineRule="auto"/>
              <w:rPr>
                <w:rFonts w:cstheme="minorHAnsi"/>
                <w:b/>
                <w:bCs/>
                <w:color w:val="404040" w:themeColor="text1" w:themeTint="BF"/>
                <w:sz w:val="20"/>
                <w:szCs w:val="20"/>
              </w:rPr>
            </w:pPr>
            <w:r w:rsidRPr="00E15E39">
              <w:rPr>
                <w:rFonts w:cstheme="minorHAnsi"/>
                <w:b/>
                <w:bCs/>
                <w:color w:val="404040" w:themeColor="text1" w:themeTint="BF"/>
                <w:sz w:val="20"/>
                <w:szCs w:val="20"/>
              </w:rPr>
              <w:t>How to license</w:t>
            </w:r>
          </w:p>
          <w:p w14:paraId="332938C4" w14:textId="77777777" w:rsidR="00B509EA" w:rsidRPr="00E15E39" w:rsidRDefault="00B509EA" w:rsidP="00B838C1">
            <w:pPr>
              <w:pStyle w:val="ListParagraph"/>
              <w:numPr>
                <w:ilvl w:val="0"/>
                <w:numId w:val="7"/>
              </w:numPr>
              <w:ind w:left="432" w:hanging="270"/>
              <w:rPr>
                <w:color w:val="404040" w:themeColor="text1" w:themeTint="BF"/>
                <w:sz w:val="20"/>
              </w:rPr>
            </w:pPr>
            <w:r w:rsidRPr="00E15E39">
              <w:rPr>
                <w:color w:val="404040" w:themeColor="text1" w:themeTint="BF"/>
                <w:sz w:val="20"/>
              </w:rPr>
              <w:t xml:space="preserve">License each individual server with a SQL </w:t>
            </w:r>
            <w:r w:rsidR="005D29D8">
              <w:rPr>
                <w:color w:val="404040" w:themeColor="text1" w:themeTint="BF"/>
                <w:sz w:val="20"/>
              </w:rPr>
              <w:t>S</w:t>
            </w:r>
            <w:r w:rsidRPr="00E15E39">
              <w:rPr>
                <w:color w:val="404040" w:themeColor="text1" w:themeTint="BF"/>
                <w:sz w:val="20"/>
              </w:rPr>
              <w:t>erver license</w:t>
            </w:r>
          </w:p>
          <w:p w14:paraId="4F737AA3" w14:textId="77777777" w:rsidR="00B509EA" w:rsidRPr="00E15E39" w:rsidRDefault="00B509EA" w:rsidP="00B838C1">
            <w:pPr>
              <w:pStyle w:val="ListParagraph"/>
              <w:numPr>
                <w:ilvl w:val="0"/>
                <w:numId w:val="7"/>
              </w:numPr>
              <w:ind w:left="432" w:hanging="270"/>
              <w:rPr>
                <w:color w:val="404040" w:themeColor="text1" w:themeTint="BF"/>
                <w:sz w:val="20"/>
              </w:rPr>
            </w:pPr>
            <w:r w:rsidRPr="00E15E39">
              <w:rPr>
                <w:color w:val="404040" w:themeColor="text1" w:themeTint="BF"/>
                <w:sz w:val="20"/>
              </w:rPr>
              <w:t>License each user or device accessing the server with a SQL Server CAL</w:t>
            </w:r>
          </w:p>
          <w:p w14:paraId="1C34AB57" w14:textId="77777777" w:rsidR="00B509EA" w:rsidRPr="00E15E39" w:rsidRDefault="00E15E39" w:rsidP="00E15E39">
            <w:pPr>
              <w:rPr>
                <w:i/>
                <w:color w:val="404040" w:themeColor="text1" w:themeTint="BF"/>
              </w:rPr>
            </w:pPr>
            <w:r w:rsidRPr="00E15E39">
              <w:rPr>
                <w:i/>
                <w:color w:val="404040" w:themeColor="text1" w:themeTint="BF"/>
                <w:sz w:val="22"/>
              </w:rPr>
              <w:t>SQL Server 2012 CALs can be used to access any SQL Server database licensed per server, regardless of platform or edition.</w:t>
            </w:r>
          </w:p>
        </w:tc>
      </w:tr>
      <w:tr w:rsidR="00180219" w14:paraId="6E0D9A59" w14:textId="77777777" w:rsidTr="00421530">
        <w:trPr>
          <w:trHeight w:val="189"/>
        </w:trPr>
        <w:tc>
          <w:tcPr>
            <w:tcW w:w="5220" w:type="dxa"/>
            <w:vAlign w:val="center"/>
          </w:tcPr>
          <w:p w14:paraId="62AEFC30" w14:textId="77777777" w:rsidR="00180219" w:rsidRPr="0058557C" w:rsidRDefault="00421530" w:rsidP="00421530">
            <w:pPr>
              <w:jc w:val="center"/>
              <w:rPr>
                <w:color w:val="404040" w:themeColor="text1" w:themeTint="BF"/>
              </w:rPr>
            </w:pPr>
            <w:r>
              <w:rPr>
                <w:noProof/>
                <w:color w:val="000000" w:themeColor="text1"/>
              </w:rPr>
              <w:drawing>
                <wp:inline distT="0" distB="0" distL="0" distR="0" wp14:anchorId="04508752" wp14:editId="04508753">
                  <wp:extent cx="2502134" cy="11652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 Server.png"/>
                          <pic:cNvPicPr/>
                        </pic:nvPicPr>
                        <pic:blipFill>
                          <a:blip r:embed="rId19">
                            <a:extLst>
                              <a:ext uri="{28A0092B-C50C-407E-A947-70E740481C1C}">
                                <a14:useLocalDpi xmlns:a14="http://schemas.microsoft.com/office/drawing/2010/main" val="0"/>
                              </a:ext>
                            </a:extLst>
                          </a:blip>
                          <a:stretch>
                            <a:fillRect/>
                          </a:stretch>
                        </pic:blipFill>
                        <pic:spPr>
                          <a:xfrm>
                            <a:off x="0" y="0"/>
                            <a:ext cx="2521317" cy="1174187"/>
                          </a:xfrm>
                          <a:prstGeom prst="rect">
                            <a:avLst/>
                          </a:prstGeom>
                        </pic:spPr>
                      </pic:pic>
                    </a:graphicData>
                  </a:graphic>
                </wp:inline>
              </w:drawing>
            </w:r>
          </w:p>
        </w:tc>
      </w:tr>
    </w:tbl>
    <w:p w14:paraId="1AE72B2A" w14:textId="77777777" w:rsidR="009B07EB" w:rsidRPr="0058557C" w:rsidRDefault="000775F1" w:rsidP="002F57AC">
      <w:pPr>
        <w:pStyle w:val="Heading1"/>
        <w:rPr>
          <w:sz w:val="24"/>
        </w:rPr>
      </w:pPr>
      <w:r w:rsidRPr="0058557C">
        <w:t>V</w:t>
      </w:r>
      <w:r w:rsidR="009B07EB" w:rsidRPr="0058557C">
        <w:t>irtualization</w:t>
      </w:r>
      <w:r w:rsidRPr="0058557C">
        <w:t xml:space="preserve"> Licensing</w:t>
      </w:r>
      <w:r w:rsidR="009B07EB" w:rsidRPr="0058557C">
        <w:t xml:space="preserve"> - </w:t>
      </w:r>
      <w:r w:rsidRPr="0058557C">
        <w:t>C</w:t>
      </w:r>
      <w:r w:rsidR="009B07EB" w:rsidRPr="0058557C">
        <w:t xml:space="preserve">loud </w:t>
      </w:r>
      <w:r w:rsidRPr="0058557C">
        <w:t>O</w:t>
      </w:r>
      <w:r w:rsidR="009B07EB" w:rsidRPr="0058557C">
        <w:t>ptimized</w:t>
      </w:r>
    </w:p>
    <w:p w14:paraId="316FB437" w14:textId="77777777" w:rsidR="00701B03" w:rsidRPr="00C10690" w:rsidRDefault="00BB7A2C" w:rsidP="00F82BA9">
      <w:pPr>
        <w:pStyle w:val="Body"/>
      </w:pPr>
      <w:r w:rsidRPr="002F43F4">
        <w:t>SQL Server 2012 will offer expanded virtualization rights, options and benefits to provide greater flexibility for customers deploying in virtual environments.</w:t>
      </w:r>
      <w:r w:rsidR="001244B8">
        <w:t xml:space="preserve"> </w:t>
      </w:r>
      <w:r w:rsidRPr="002F43F4">
        <w:t>There will be two primary virtualization licensing options in SQL Server 2012:</w:t>
      </w:r>
      <w:r w:rsidR="001244B8">
        <w:t xml:space="preserve"> </w:t>
      </w:r>
      <w:r w:rsidR="009110C8">
        <w:t>T</w:t>
      </w:r>
      <w:r w:rsidR="001F3C52" w:rsidRPr="00C10690">
        <w:t xml:space="preserve">he </w:t>
      </w:r>
      <w:r w:rsidRPr="00C10690">
        <w:t>ability to license individual virtual machines</w:t>
      </w:r>
      <w:r w:rsidR="001F3C52">
        <w:t xml:space="preserve"> and the ability to license for maximum virtualization in highly virtualized and private cloud environments</w:t>
      </w:r>
      <w:r w:rsidRPr="00C10690">
        <w:t>.</w:t>
      </w:r>
      <w:r w:rsidR="001244B8" w:rsidRPr="00C10690">
        <w:t xml:space="preserve"> </w:t>
      </w:r>
    </w:p>
    <w:p w14:paraId="2561602C" w14:textId="77777777" w:rsidR="00701B03" w:rsidRPr="002F43F4" w:rsidRDefault="00701B03" w:rsidP="00F23CFE">
      <w:pPr>
        <w:pStyle w:val="Heading3"/>
        <w:rPr>
          <w:b/>
          <w:sz w:val="24"/>
        </w:rPr>
      </w:pPr>
      <w:r w:rsidRPr="002F43F4">
        <w:t>Individual Virtual Machines</w:t>
      </w:r>
    </w:p>
    <w:p w14:paraId="23B348AF" w14:textId="77777777" w:rsidR="00C10690" w:rsidRDefault="00BB7A2C" w:rsidP="00180219">
      <w:pPr>
        <w:pStyle w:val="VLBodyBullet"/>
      </w:pPr>
      <w:r w:rsidRPr="00C10690">
        <w:t xml:space="preserve">As hardware </w:t>
      </w:r>
      <w:r w:rsidR="006D60A4">
        <w:t>capabilities grow</w:t>
      </w:r>
      <w:r w:rsidRPr="00C10690">
        <w:t xml:space="preserve">, it will become more common for each database to use a fraction of its server’s </w:t>
      </w:r>
      <w:r w:rsidR="000E2308">
        <w:t>computing</w:t>
      </w:r>
      <w:r w:rsidRPr="00C10690">
        <w:t xml:space="preserve"> power. </w:t>
      </w:r>
    </w:p>
    <w:p w14:paraId="2FF82D1A" w14:textId="77777777" w:rsidR="00C10690" w:rsidRDefault="00BB7A2C" w:rsidP="00180219">
      <w:pPr>
        <w:pStyle w:val="VLBodyBullet"/>
      </w:pPr>
      <w:r w:rsidRPr="00C10690">
        <w:t xml:space="preserve">When deploying databases on </w:t>
      </w:r>
      <w:r w:rsidR="00261E68" w:rsidRPr="00C10690">
        <w:t>Virtual M</w:t>
      </w:r>
      <w:r w:rsidRPr="00C10690">
        <w:t xml:space="preserve">achines (VMs) that use just a fraction of a physical server, </w:t>
      </w:r>
      <w:r w:rsidR="00044ECA" w:rsidRPr="00C10690">
        <w:t xml:space="preserve">savings can be achieved </w:t>
      </w:r>
      <w:r w:rsidRPr="00C10690">
        <w:t>by licensing individual VMs.</w:t>
      </w:r>
    </w:p>
    <w:p w14:paraId="5EE71BE1" w14:textId="77777777" w:rsidR="00C10690" w:rsidRDefault="00BB7A2C" w:rsidP="00180219">
      <w:pPr>
        <w:pStyle w:val="VLBodyBullet"/>
      </w:pPr>
      <w:r w:rsidRPr="00C10690">
        <w:t xml:space="preserve">To license a VM with core licenses, </w:t>
      </w:r>
      <w:r w:rsidR="006D60A4">
        <w:t>purchase</w:t>
      </w:r>
      <w:r w:rsidR="001F3C52">
        <w:t xml:space="preserve"> a core license for each</w:t>
      </w:r>
      <w:r w:rsidRPr="00C10690">
        <w:t xml:space="preserve"> virtual core </w:t>
      </w:r>
      <w:r w:rsidR="006D60A4">
        <w:t xml:space="preserve">(virtual thread) </w:t>
      </w:r>
      <w:r w:rsidRPr="00C10690">
        <w:t xml:space="preserve">allocated </w:t>
      </w:r>
      <w:r w:rsidR="001F3C52">
        <w:t>to</w:t>
      </w:r>
      <w:r w:rsidRPr="00C10690">
        <w:t xml:space="preserve"> the virtual machine (minimum of 4 core licenses per VM). </w:t>
      </w:r>
    </w:p>
    <w:p w14:paraId="632573FB" w14:textId="77777777" w:rsidR="00C10690" w:rsidRDefault="00BB7A2C" w:rsidP="00180219">
      <w:pPr>
        <w:pStyle w:val="VLBodyBullet"/>
      </w:pPr>
      <w:r w:rsidRPr="00C10690">
        <w:lastRenderedPageBreak/>
        <w:t xml:space="preserve">To license a </w:t>
      </w:r>
      <w:r w:rsidR="006D60A4">
        <w:t xml:space="preserve">single </w:t>
      </w:r>
      <w:r w:rsidRPr="00C10690">
        <w:t>VM with a server license (for B</w:t>
      </w:r>
      <w:r w:rsidR="00261E68" w:rsidRPr="00C10690">
        <w:t xml:space="preserve">usiness </w:t>
      </w:r>
      <w:r w:rsidRPr="00C10690">
        <w:t>I</w:t>
      </w:r>
      <w:r w:rsidR="00261E68" w:rsidRPr="00C10690">
        <w:t>ntelligence</w:t>
      </w:r>
      <w:r w:rsidRPr="00C10690">
        <w:t xml:space="preserve"> or S</w:t>
      </w:r>
      <w:r w:rsidR="00261E68" w:rsidRPr="00C10690">
        <w:t>tandard</w:t>
      </w:r>
      <w:r w:rsidRPr="00C10690">
        <w:t xml:space="preserve"> only), buy the server license and buy matching SQL Server CALs for each user.</w:t>
      </w:r>
      <w:r w:rsidR="001244B8" w:rsidRPr="00C10690">
        <w:t xml:space="preserve"> </w:t>
      </w:r>
    </w:p>
    <w:p w14:paraId="2EDF5DF2" w14:textId="77777777" w:rsidR="00E94507" w:rsidRDefault="00BB7A2C" w:rsidP="00180219">
      <w:pPr>
        <w:pStyle w:val="VLBodyBullet"/>
      </w:pPr>
      <w:r w:rsidRPr="00C10690">
        <w:t>Each licensed VM covered with Software Assurance</w:t>
      </w:r>
      <w:r w:rsidR="00812663">
        <w:t xml:space="preserve"> (SA)</w:t>
      </w:r>
      <w:r w:rsidRPr="00C10690">
        <w:t xml:space="preserve"> can be moved frequently within </w:t>
      </w:r>
      <w:r w:rsidR="001F3C52">
        <w:t xml:space="preserve">a </w:t>
      </w:r>
      <w:r w:rsidRPr="00C10690">
        <w:t>server farm or to a third party hoster or cloud services provider</w:t>
      </w:r>
      <w:r w:rsidR="001F3C52">
        <w:t xml:space="preserve"> without buying additional SQL Server licenses</w:t>
      </w:r>
      <w:r w:rsidRPr="00C10690">
        <w:t>. </w:t>
      </w:r>
      <w:r w:rsidR="00180219">
        <w:br/>
      </w:r>
    </w:p>
    <w:tbl>
      <w:tblPr>
        <w:tblStyle w:val="TableGrid"/>
        <w:tblW w:w="0" w:type="auto"/>
        <w:tblInd w:w="108"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2520"/>
        <w:gridCol w:w="2700"/>
      </w:tblGrid>
      <w:tr w:rsidR="00180219" w14:paraId="11F0BECB" w14:textId="77777777" w:rsidTr="009E403A">
        <w:tc>
          <w:tcPr>
            <w:tcW w:w="5220" w:type="dxa"/>
            <w:gridSpan w:val="2"/>
            <w:tcBorders>
              <w:bottom w:val="nil"/>
            </w:tcBorders>
            <w:vAlign w:val="center"/>
          </w:tcPr>
          <w:p w14:paraId="4A23C6C2" w14:textId="77777777" w:rsidR="00180219" w:rsidRPr="00E15E39" w:rsidRDefault="00421530" w:rsidP="00EE7C45">
            <w:pPr>
              <w:autoSpaceDE w:val="0"/>
              <w:autoSpaceDN w:val="0"/>
              <w:adjustRightInd w:val="0"/>
              <w:spacing w:after="0" w:line="240" w:lineRule="auto"/>
              <w:rPr>
                <w:rFonts w:cstheme="minorHAnsi"/>
                <w:b/>
                <w:bCs/>
                <w:color w:val="404040" w:themeColor="text1" w:themeTint="BF"/>
                <w:sz w:val="20"/>
                <w:szCs w:val="20"/>
              </w:rPr>
            </w:pPr>
            <w:r w:rsidRPr="00421530">
              <w:rPr>
                <w:rFonts w:cstheme="minorHAnsi"/>
                <w:b/>
                <w:bCs/>
                <w:color w:val="404040" w:themeColor="text1" w:themeTint="BF"/>
                <w:sz w:val="20"/>
                <w:szCs w:val="20"/>
              </w:rPr>
              <w:t>How to License VMs with Core Licenses</w:t>
            </w:r>
          </w:p>
          <w:p w14:paraId="598CE302" w14:textId="77777777" w:rsidR="00421530" w:rsidRPr="00421530" w:rsidRDefault="00421530" w:rsidP="00B838C1">
            <w:pPr>
              <w:pStyle w:val="ListParagraph"/>
              <w:numPr>
                <w:ilvl w:val="0"/>
                <w:numId w:val="8"/>
              </w:numPr>
              <w:ind w:left="432" w:hanging="270"/>
              <w:rPr>
                <w:color w:val="404040" w:themeColor="text1" w:themeTint="BF"/>
                <w:sz w:val="20"/>
              </w:rPr>
            </w:pPr>
            <w:r w:rsidRPr="00421530">
              <w:rPr>
                <w:color w:val="404040" w:themeColor="text1" w:themeTint="BF"/>
                <w:sz w:val="20"/>
              </w:rPr>
              <w:t>License the virtual cores in each virtual</w:t>
            </w:r>
            <w:r>
              <w:rPr>
                <w:color w:val="404040" w:themeColor="text1" w:themeTint="BF"/>
                <w:sz w:val="20"/>
              </w:rPr>
              <w:t xml:space="preserve"> </w:t>
            </w:r>
            <w:r w:rsidRPr="00421530">
              <w:rPr>
                <w:color w:val="404040" w:themeColor="text1" w:themeTint="BF"/>
                <w:sz w:val="20"/>
              </w:rPr>
              <w:t>machine</w:t>
            </w:r>
          </w:p>
          <w:p w14:paraId="0CED9819" w14:textId="77777777" w:rsidR="00180219" w:rsidRPr="00421530" w:rsidRDefault="00421530" w:rsidP="00B838C1">
            <w:pPr>
              <w:pStyle w:val="ListParagraph"/>
              <w:numPr>
                <w:ilvl w:val="0"/>
                <w:numId w:val="8"/>
              </w:numPr>
              <w:ind w:left="432" w:hanging="270"/>
              <w:rPr>
                <w:color w:val="404040" w:themeColor="text1" w:themeTint="BF"/>
                <w:sz w:val="20"/>
              </w:rPr>
            </w:pPr>
            <w:r w:rsidRPr="00421530">
              <w:rPr>
                <w:color w:val="404040" w:themeColor="text1" w:themeTint="BF"/>
                <w:sz w:val="20"/>
              </w:rPr>
              <w:t>There is a minimum of 4 core licenses required</w:t>
            </w:r>
            <w:r>
              <w:rPr>
                <w:color w:val="404040" w:themeColor="text1" w:themeTint="BF"/>
                <w:sz w:val="20"/>
              </w:rPr>
              <w:t xml:space="preserve"> </w:t>
            </w:r>
            <w:r w:rsidRPr="00421530">
              <w:rPr>
                <w:color w:val="404040" w:themeColor="text1" w:themeTint="BF"/>
                <w:sz w:val="20"/>
              </w:rPr>
              <w:t>for each virtual machine</w:t>
            </w:r>
          </w:p>
        </w:tc>
      </w:tr>
      <w:tr w:rsidR="00421530" w14:paraId="7779DF23" w14:textId="77777777" w:rsidTr="009E403A">
        <w:trPr>
          <w:trHeight w:val="189"/>
        </w:trPr>
        <w:tc>
          <w:tcPr>
            <w:tcW w:w="2520" w:type="dxa"/>
            <w:tcBorders>
              <w:top w:val="nil"/>
              <w:bottom w:val="nil"/>
              <w:right w:val="single" w:sz="12" w:space="0" w:color="FFFFFF" w:themeColor="background1"/>
            </w:tcBorders>
            <w:shd w:val="clear" w:color="auto" w:fill="D9D9D9" w:themeFill="background1" w:themeFillShade="D9"/>
            <w:vAlign w:val="center"/>
          </w:tcPr>
          <w:p w14:paraId="5BD41EB4" w14:textId="77777777" w:rsidR="00421530" w:rsidRPr="00421530" w:rsidRDefault="00421530" w:rsidP="00421530">
            <w:pPr>
              <w:spacing w:before="60"/>
              <w:jc w:val="center"/>
              <w:rPr>
                <w:b/>
                <w:color w:val="404040" w:themeColor="text1" w:themeTint="BF"/>
              </w:rPr>
            </w:pPr>
            <w:r w:rsidRPr="00421530">
              <w:rPr>
                <w:b/>
                <w:color w:val="404040" w:themeColor="text1" w:themeTint="BF"/>
              </w:rPr>
              <w:t>VM1</w:t>
            </w:r>
          </w:p>
        </w:tc>
        <w:tc>
          <w:tcPr>
            <w:tcW w:w="2700" w:type="dxa"/>
            <w:tcBorders>
              <w:top w:val="nil"/>
              <w:left w:val="single" w:sz="12" w:space="0" w:color="FFFFFF" w:themeColor="background1"/>
              <w:bottom w:val="nil"/>
            </w:tcBorders>
            <w:shd w:val="clear" w:color="auto" w:fill="D9D9D9" w:themeFill="background1" w:themeFillShade="D9"/>
            <w:vAlign w:val="center"/>
          </w:tcPr>
          <w:p w14:paraId="73AAB8A1" w14:textId="77777777" w:rsidR="00421530" w:rsidRPr="00421530" w:rsidRDefault="00421530" w:rsidP="00421530">
            <w:pPr>
              <w:spacing w:before="60"/>
              <w:jc w:val="center"/>
              <w:rPr>
                <w:b/>
                <w:color w:val="404040" w:themeColor="text1" w:themeTint="BF"/>
              </w:rPr>
            </w:pPr>
            <w:r w:rsidRPr="00421530">
              <w:rPr>
                <w:b/>
                <w:color w:val="404040" w:themeColor="text1" w:themeTint="BF"/>
              </w:rPr>
              <w:t>VM2</w:t>
            </w:r>
          </w:p>
        </w:tc>
      </w:tr>
      <w:tr w:rsidR="00421530" w14:paraId="33A53D91" w14:textId="77777777" w:rsidTr="009E403A">
        <w:trPr>
          <w:trHeight w:val="189"/>
        </w:trPr>
        <w:tc>
          <w:tcPr>
            <w:tcW w:w="2520" w:type="dxa"/>
            <w:tcBorders>
              <w:top w:val="nil"/>
              <w:bottom w:val="nil"/>
              <w:right w:val="single" w:sz="12" w:space="0" w:color="FFFFFF" w:themeColor="background1"/>
            </w:tcBorders>
            <w:shd w:val="clear" w:color="auto" w:fill="D9D9D9" w:themeFill="background1" w:themeFillShade="D9"/>
            <w:vAlign w:val="center"/>
          </w:tcPr>
          <w:p w14:paraId="19723C3A" w14:textId="77777777" w:rsidR="00421530" w:rsidRPr="0058557C" w:rsidRDefault="009E403A" w:rsidP="00EE7C45">
            <w:pPr>
              <w:jc w:val="center"/>
              <w:rPr>
                <w:color w:val="404040" w:themeColor="text1" w:themeTint="BF"/>
              </w:rPr>
            </w:pPr>
            <w:r>
              <w:rPr>
                <w:noProof/>
                <w:color w:val="000000" w:themeColor="text1"/>
              </w:rPr>
              <w:drawing>
                <wp:inline distT="0" distB="0" distL="0" distR="0" wp14:anchorId="04508754" wp14:editId="04508755">
                  <wp:extent cx="669404"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0">
                            <a:extLst>
                              <a:ext uri="{28A0092B-C50C-407E-A947-70E740481C1C}">
                                <a14:useLocalDpi xmlns:a14="http://schemas.microsoft.com/office/drawing/2010/main" val="0"/>
                              </a:ext>
                            </a:extLst>
                          </a:blip>
                          <a:stretch>
                            <a:fillRect/>
                          </a:stretch>
                        </pic:blipFill>
                        <pic:spPr>
                          <a:xfrm>
                            <a:off x="0" y="0"/>
                            <a:ext cx="669404" cy="457200"/>
                          </a:xfrm>
                          <a:prstGeom prst="rect">
                            <a:avLst/>
                          </a:prstGeom>
                        </pic:spPr>
                      </pic:pic>
                    </a:graphicData>
                  </a:graphic>
                </wp:inline>
              </w:drawing>
            </w:r>
          </w:p>
        </w:tc>
        <w:tc>
          <w:tcPr>
            <w:tcW w:w="2700" w:type="dxa"/>
            <w:tcBorders>
              <w:top w:val="nil"/>
              <w:left w:val="single" w:sz="12" w:space="0" w:color="FFFFFF" w:themeColor="background1"/>
              <w:bottom w:val="nil"/>
            </w:tcBorders>
            <w:shd w:val="clear" w:color="auto" w:fill="D9D9D9" w:themeFill="background1" w:themeFillShade="D9"/>
            <w:vAlign w:val="center"/>
          </w:tcPr>
          <w:p w14:paraId="4E7D2FF2" w14:textId="77777777" w:rsidR="00421530" w:rsidRPr="0058557C" w:rsidRDefault="009E403A" w:rsidP="00EE7C45">
            <w:pPr>
              <w:jc w:val="center"/>
              <w:rPr>
                <w:color w:val="404040" w:themeColor="text1" w:themeTint="BF"/>
              </w:rPr>
            </w:pPr>
            <w:r>
              <w:rPr>
                <w:noProof/>
                <w:color w:val="000000" w:themeColor="text1"/>
              </w:rPr>
              <w:drawing>
                <wp:inline distT="0" distB="0" distL="0" distR="0" wp14:anchorId="04508756" wp14:editId="04508757">
                  <wp:extent cx="903914" cy="45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1">
                            <a:extLst>
                              <a:ext uri="{28A0092B-C50C-407E-A947-70E740481C1C}">
                                <a14:useLocalDpi xmlns:a14="http://schemas.microsoft.com/office/drawing/2010/main" val="0"/>
                              </a:ext>
                            </a:extLst>
                          </a:blip>
                          <a:stretch>
                            <a:fillRect/>
                          </a:stretch>
                        </pic:blipFill>
                        <pic:spPr>
                          <a:xfrm>
                            <a:off x="0" y="0"/>
                            <a:ext cx="903914" cy="457200"/>
                          </a:xfrm>
                          <a:prstGeom prst="rect">
                            <a:avLst/>
                          </a:prstGeom>
                        </pic:spPr>
                      </pic:pic>
                    </a:graphicData>
                  </a:graphic>
                </wp:inline>
              </w:drawing>
            </w:r>
          </w:p>
        </w:tc>
      </w:tr>
      <w:tr w:rsidR="00421530" w14:paraId="7D9484AE" w14:textId="77777777" w:rsidTr="009E403A">
        <w:trPr>
          <w:trHeight w:val="189"/>
        </w:trPr>
        <w:tc>
          <w:tcPr>
            <w:tcW w:w="2520" w:type="dxa"/>
            <w:tcBorders>
              <w:top w:val="nil"/>
              <w:bottom w:val="nil"/>
              <w:right w:val="single" w:sz="12" w:space="0" w:color="FFFFFF" w:themeColor="background1"/>
            </w:tcBorders>
            <w:shd w:val="clear" w:color="auto" w:fill="D9D9D9" w:themeFill="background1" w:themeFillShade="D9"/>
            <w:vAlign w:val="center"/>
          </w:tcPr>
          <w:p w14:paraId="6537B7AB" w14:textId="77777777" w:rsidR="00421530" w:rsidRPr="00421530" w:rsidRDefault="00421530" w:rsidP="00421530">
            <w:pPr>
              <w:jc w:val="center"/>
              <w:rPr>
                <w:color w:val="404040" w:themeColor="text1" w:themeTint="BF"/>
                <w:sz w:val="16"/>
              </w:rPr>
            </w:pPr>
            <w:r w:rsidRPr="00421530">
              <w:rPr>
                <w:color w:val="404040" w:themeColor="text1" w:themeTint="BF"/>
                <w:sz w:val="16"/>
              </w:rPr>
              <w:t>VM with 4 Virtual Cores</w:t>
            </w:r>
          </w:p>
          <w:p w14:paraId="258E0CB7" w14:textId="77777777" w:rsidR="00421530" w:rsidRPr="00421530" w:rsidRDefault="00421530" w:rsidP="00421530">
            <w:pPr>
              <w:jc w:val="center"/>
              <w:rPr>
                <w:color w:val="404040" w:themeColor="text1" w:themeTint="BF"/>
                <w:sz w:val="16"/>
              </w:rPr>
            </w:pPr>
            <w:r w:rsidRPr="00421530">
              <w:rPr>
                <w:color w:val="404040" w:themeColor="text1" w:themeTint="BF"/>
                <w:sz w:val="16"/>
              </w:rPr>
              <w:t>4 Core licenses required</w:t>
            </w:r>
          </w:p>
        </w:tc>
        <w:tc>
          <w:tcPr>
            <w:tcW w:w="2700" w:type="dxa"/>
            <w:tcBorders>
              <w:top w:val="nil"/>
              <w:left w:val="single" w:sz="12" w:space="0" w:color="FFFFFF" w:themeColor="background1"/>
              <w:bottom w:val="nil"/>
            </w:tcBorders>
            <w:shd w:val="clear" w:color="auto" w:fill="D9D9D9" w:themeFill="background1" w:themeFillShade="D9"/>
            <w:vAlign w:val="center"/>
          </w:tcPr>
          <w:p w14:paraId="558A8A0B" w14:textId="77777777" w:rsidR="00421530" w:rsidRPr="00421530" w:rsidRDefault="00421530" w:rsidP="00421530">
            <w:pPr>
              <w:jc w:val="center"/>
              <w:rPr>
                <w:color w:val="404040" w:themeColor="text1" w:themeTint="BF"/>
                <w:sz w:val="16"/>
              </w:rPr>
            </w:pPr>
            <w:r w:rsidRPr="00421530">
              <w:rPr>
                <w:color w:val="404040" w:themeColor="text1" w:themeTint="BF"/>
                <w:sz w:val="16"/>
              </w:rPr>
              <w:t>VM with 6 Virtual Cores</w:t>
            </w:r>
          </w:p>
          <w:p w14:paraId="3EDE9F5D" w14:textId="77777777" w:rsidR="00421530" w:rsidRPr="00421530" w:rsidRDefault="00421530" w:rsidP="00421530">
            <w:pPr>
              <w:jc w:val="center"/>
              <w:rPr>
                <w:color w:val="404040" w:themeColor="text1" w:themeTint="BF"/>
                <w:sz w:val="16"/>
              </w:rPr>
            </w:pPr>
            <w:r w:rsidRPr="00421530">
              <w:rPr>
                <w:color w:val="404040" w:themeColor="text1" w:themeTint="BF"/>
                <w:sz w:val="16"/>
              </w:rPr>
              <w:t>6 Core licenses required</w:t>
            </w:r>
          </w:p>
        </w:tc>
      </w:tr>
      <w:tr w:rsidR="00421530" w14:paraId="7D813E16" w14:textId="77777777" w:rsidTr="009E403A">
        <w:trPr>
          <w:trHeight w:val="189"/>
        </w:trPr>
        <w:tc>
          <w:tcPr>
            <w:tcW w:w="5220" w:type="dxa"/>
            <w:gridSpan w:val="2"/>
            <w:tcBorders>
              <w:top w:val="nil"/>
            </w:tcBorders>
            <w:vAlign w:val="center"/>
          </w:tcPr>
          <w:p w14:paraId="45B2F581" w14:textId="77777777" w:rsidR="00421530" w:rsidRPr="0058557C" w:rsidRDefault="00421530" w:rsidP="00514160">
            <w:pPr>
              <w:spacing w:before="120"/>
              <w:jc w:val="center"/>
              <w:rPr>
                <w:color w:val="404040" w:themeColor="text1" w:themeTint="BF"/>
              </w:rPr>
            </w:pPr>
            <w:r w:rsidRPr="002F43F4">
              <w:rPr>
                <w:noProof/>
                <w:color w:val="000000"/>
              </w:rPr>
              <w:drawing>
                <wp:inline distT="0" distB="0" distL="0" distR="0" wp14:anchorId="04508758" wp14:editId="04508759">
                  <wp:extent cx="473279" cy="36576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png"/>
                          <pic:cNvPicPr/>
                        </pic:nvPicPr>
                        <pic:blipFill rotWithShape="1">
                          <a:blip r:embed="rId22">
                            <a:extLst>
                              <a:ext uri="{28A0092B-C50C-407E-A947-70E740481C1C}">
                                <a14:useLocalDpi xmlns:a14="http://schemas.microsoft.com/office/drawing/2010/main" val="0"/>
                              </a:ext>
                            </a:extLst>
                          </a:blip>
                          <a:srcRect l="-6931" t="-10605" r="-6931" b="-9092"/>
                          <a:stretch/>
                        </pic:blipFill>
                        <pic:spPr bwMode="auto">
                          <a:xfrm>
                            <a:off x="0" y="0"/>
                            <a:ext cx="473279" cy="3657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37C53B" w14:textId="77777777" w:rsidR="00180219" w:rsidRDefault="00180219" w:rsidP="00180219">
      <w:pPr>
        <w:pStyle w:val="VLBodyBullet"/>
        <w:numPr>
          <w:ilvl w:val="0"/>
          <w:numId w:val="0"/>
        </w:numPr>
        <w:ind w:left="360" w:hanging="360"/>
      </w:pPr>
    </w:p>
    <w:tbl>
      <w:tblPr>
        <w:tblStyle w:val="TableGrid"/>
        <w:tblW w:w="0" w:type="auto"/>
        <w:tblInd w:w="108"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2520"/>
        <w:gridCol w:w="2700"/>
      </w:tblGrid>
      <w:tr w:rsidR="00421530" w14:paraId="60A01D29" w14:textId="77777777" w:rsidTr="002A7FB8">
        <w:tc>
          <w:tcPr>
            <w:tcW w:w="5220" w:type="dxa"/>
            <w:gridSpan w:val="2"/>
            <w:tcBorders>
              <w:top w:val="single" w:sz="4" w:space="0" w:color="943634" w:themeColor="accent2" w:themeShade="BF"/>
              <w:left w:val="single" w:sz="4" w:space="0" w:color="943634" w:themeColor="accent2" w:themeShade="BF"/>
              <w:bottom w:val="nil"/>
              <w:right w:val="single" w:sz="4" w:space="0" w:color="943634" w:themeColor="accent2" w:themeShade="BF"/>
            </w:tcBorders>
            <w:vAlign w:val="center"/>
          </w:tcPr>
          <w:p w14:paraId="1096505D" w14:textId="77777777" w:rsidR="00421530" w:rsidRPr="00E15E39" w:rsidRDefault="00421530" w:rsidP="00EE7C45">
            <w:pPr>
              <w:autoSpaceDE w:val="0"/>
              <w:autoSpaceDN w:val="0"/>
              <w:adjustRightInd w:val="0"/>
              <w:spacing w:after="0" w:line="240" w:lineRule="auto"/>
              <w:rPr>
                <w:rFonts w:cstheme="minorHAnsi"/>
                <w:b/>
                <w:bCs/>
                <w:color w:val="404040" w:themeColor="text1" w:themeTint="BF"/>
                <w:sz w:val="20"/>
                <w:szCs w:val="20"/>
              </w:rPr>
            </w:pPr>
            <w:r w:rsidRPr="00421530">
              <w:rPr>
                <w:rFonts w:cstheme="minorHAnsi"/>
                <w:b/>
                <w:bCs/>
                <w:color w:val="404040" w:themeColor="text1" w:themeTint="BF"/>
                <w:sz w:val="20"/>
                <w:szCs w:val="20"/>
              </w:rPr>
              <w:t xml:space="preserve">How to License VMs with </w:t>
            </w:r>
            <w:r>
              <w:rPr>
                <w:rFonts w:cstheme="minorHAnsi"/>
                <w:b/>
                <w:bCs/>
                <w:color w:val="404040" w:themeColor="text1" w:themeTint="BF"/>
                <w:sz w:val="20"/>
                <w:szCs w:val="20"/>
              </w:rPr>
              <w:t>Server + CAL</w:t>
            </w:r>
          </w:p>
          <w:p w14:paraId="7195B0C9" w14:textId="77777777" w:rsidR="00421530" w:rsidRDefault="009E403A" w:rsidP="00B838C1">
            <w:pPr>
              <w:pStyle w:val="ListParagraph"/>
              <w:numPr>
                <w:ilvl w:val="0"/>
                <w:numId w:val="9"/>
              </w:numPr>
              <w:ind w:left="432" w:hanging="270"/>
              <w:rPr>
                <w:color w:val="404040" w:themeColor="text1" w:themeTint="BF"/>
                <w:sz w:val="20"/>
              </w:rPr>
            </w:pPr>
            <w:r>
              <w:rPr>
                <w:color w:val="404040" w:themeColor="text1" w:themeTint="BF"/>
                <w:sz w:val="20"/>
              </w:rPr>
              <w:t>License each VM with a Server License</w:t>
            </w:r>
          </w:p>
          <w:p w14:paraId="16AC0748" w14:textId="77777777" w:rsidR="009E403A" w:rsidRPr="00421530" w:rsidRDefault="009E403A" w:rsidP="00B838C1">
            <w:pPr>
              <w:pStyle w:val="ListParagraph"/>
              <w:numPr>
                <w:ilvl w:val="0"/>
                <w:numId w:val="9"/>
              </w:numPr>
              <w:ind w:left="432" w:hanging="270"/>
              <w:rPr>
                <w:color w:val="404040" w:themeColor="text1" w:themeTint="BF"/>
                <w:sz w:val="20"/>
              </w:rPr>
            </w:pPr>
            <w:r>
              <w:rPr>
                <w:color w:val="404040" w:themeColor="text1" w:themeTint="BF"/>
                <w:sz w:val="20"/>
              </w:rPr>
              <w:t>License each user or device with a CAL</w:t>
            </w:r>
          </w:p>
        </w:tc>
      </w:tr>
      <w:tr w:rsidR="00514160" w14:paraId="7C16441C" w14:textId="77777777" w:rsidTr="00EE7C45">
        <w:trPr>
          <w:trHeight w:val="189"/>
        </w:trPr>
        <w:tc>
          <w:tcPr>
            <w:tcW w:w="5220" w:type="dxa"/>
            <w:gridSpan w:val="2"/>
            <w:tcBorders>
              <w:top w:val="nil"/>
              <w:left w:val="single" w:sz="4" w:space="0" w:color="943634" w:themeColor="accent2" w:themeShade="BF"/>
              <w:bottom w:val="nil"/>
              <w:right w:val="single" w:sz="4" w:space="0" w:color="943634" w:themeColor="accent2" w:themeShade="BF"/>
            </w:tcBorders>
            <w:shd w:val="clear" w:color="auto" w:fill="auto"/>
            <w:vAlign w:val="center"/>
          </w:tcPr>
          <w:p w14:paraId="798B9D16" w14:textId="77777777" w:rsidR="00514160" w:rsidRPr="00421530" w:rsidRDefault="00514160" w:rsidP="00EE7C45">
            <w:pPr>
              <w:spacing w:before="60"/>
              <w:jc w:val="center"/>
              <w:rPr>
                <w:b/>
                <w:color w:val="404040" w:themeColor="text1" w:themeTint="BF"/>
              </w:rPr>
            </w:pPr>
            <w:r>
              <w:rPr>
                <w:b/>
                <w:noProof/>
                <w:color w:val="000000" w:themeColor="text1"/>
              </w:rPr>
              <w:drawing>
                <wp:inline distT="0" distB="0" distL="0" distR="0" wp14:anchorId="0450875A" wp14:editId="0450875B">
                  <wp:extent cx="940159" cy="45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png"/>
                          <pic:cNvPicPr/>
                        </pic:nvPicPr>
                        <pic:blipFill>
                          <a:blip r:embed="rId23">
                            <a:extLst>
                              <a:ext uri="{28A0092B-C50C-407E-A947-70E740481C1C}">
                                <a14:useLocalDpi xmlns:a14="http://schemas.microsoft.com/office/drawing/2010/main" val="0"/>
                              </a:ext>
                            </a:extLst>
                          </a:blip>
                          <a:stretch>
                            <a:fillRect/>
                          </a:stretch>
                        </pic:blipFill>
                        <pic:spPr>
                          <a:xfrm>
                            <a:off x="0" y="0"/>
                            <a:ext cx="940159" cy="457200"/>
                          </a:xfrm>
                          <a:prstGeom prst="rect">
                            <a:avLst/>
                          </a:prstGeom>
                        </pic:spPr>
                      </pic:pic>
                    </a:graphicData>
                  </a:graphic>
                </wp:inline>
              </w:drawing>
            </w:r>
          </w:p>
        </w:tc>
      </w:tr>
      <w:tr w:rsidR="00421530" w14:paraId="43B3D12F" w14:textId="77777777" w:rsidTr="002A7FB8">
        <w:trPr>
          <w:trHeight w:val="189"/>
        </w:trPr>
        <w:tc>
          <w:tcPr>
            <w:tcW w:w="2520" w:type="dxa"/>
            <w:tcBorders>
              <w:top w:val="nil"/>
              <w:left w:val="single" w:sz="4" w:space="0" w:color="943634" w:themeColor="accent2" w:themeShade="BF"/>
              <w:bottom w:val="nil"/>
              <w:right w:val="single" w:sz="12" w:space="0" w:color="FFFFFF" w:themeColor="background1"/>
            </w:tcBorders>
            <w:shd w:val="clear" w:color="auto" w:fill="D9D9D9" w:themeFill="background1" w:themeFillShade="D9"/>
            <w:vAlign w:val="center"/>
          </w:tcPr>
          <w:p w14:paraId="7D3FCE65" w14:textId="77777777" w:rsidR="00421530" w:rsidRPr="00421530" w:rsidRDefault="00421530" w:rsidP="00EE7C45">
            <w:pPr>
              <w:spacing w:before="60"/>
              <w:jc w:val="center"/>
              <w:rPr>
                <w:b/>
                <w:color w:val="404040" w:themeColor="text1" w:themeTint="BF"/>
              </w:rPr>
            </w:pPr>
            <w:r w:rsidRPr="00421530">
              <w:rPr>
                <w:b/>
                <w:color w:val="404040" w:themeColor="text1" w:themeTint="BF"/>
              </w:rPr>
              <w:t>VM1</w:t>
            </w:r>
          </w:p>
        </w:tc>
        <w:tc>
          <w:tcPr>
            <w:tcW w:w="2700" w:type="dxa"/>
            <w:tcBorders>
              <w:top w:val="nil"/>
              <w:left w:val="single" w:sz="12" w:space="0" w:color="FFFFFF" w:themeColor="background1"/>
              <w:bottom w:val="nil"/>
              <w:right w:val="single" w:sz="4" w:space="0" w:color="943634" w:themeColor="accent2" w:themeShade="BF"/>
            </w:tcBorders>
            <w:shd w:val="clear" w:color="auto" w:fill="D9D9D9" w:themeFill="background1" w:themeFillShade="D9"/>
            <w:vAlign w:val="center"/>
          </w:tcPr>
          <w:p w14:paraId="13DDEC02" w14:textId="77777777" w:rsidR="00421530" w:rsidRPr="00421530" w:rsidRDefault="00421530" w:rsidP="00EE7C45">
            <w:pPr>
              <w:spacing w:before="60"/>
              <w:jc w:val="center"/>
              <w:rPr>
                <w:b/>
                <w:color w:val="404040" w:themeColor="text1" w:themeTint="BF"/>
              </w:rPr>
            </w:pPr>
            <w:r w:rsidRPr="00421530">
              <w:rPr>
                <w:b/>
                <w:color w:val="404040" w:themeColor="text1" w:themeTint="BF"/>
              </w:rPr>
              <w:t>VM2</w:t>
            </w:r>
          </w:p>
        </w:tc>
      </w:tr>
      <w:tr w:rsidR="00421530" w14:paraId="3E0C4164" w14:textId="77777777" w:rsidTr="002A7FB8">
        <w:trPr>
          <w:trHeight w:val="189"/>
        </w:trPr>
        <w:tc>
          <w:tcPr>
            <w:tcW w:w="2520" w:type="dxa"/>
            <w:tcBorders>
              <w:top w:val="nil"/>
              <w:left w:val="single" w:sz="4" w:space="0" w:color="943634" w:themeColor="accent2" w:themeShade="BF"/>
              <w:bottom w:val="nil"/>
              <w:right w:val="single" w:sz="12" w:space="0" w:color="FFFFFF" w:themeColor="background1"/>
            </w:tcBorders>
            <w:shd w:val="clear" w:color="auto" w:fill="D9D9D9" w:themeFill="background1" w:themeFillShade="D9"/>
            <w:vAlign w:val="center"/>
          </w:tcPr>
          <w:p w14:paraId="646CC459" w14:textId="77777777" w:rsidR="00421530" w:rsidRPr="0058557C" w:rsidRDefault="009E403A" w:rsidP="00EE7C45">
            <w:pPr>
              <w:jc w:val="center"/>
              <w:rPr>
                <w:color w:val="404040" w:themeColor="text1" w:themeTint="BF"/>
              </w:rPr>
            </w:pPr>
            <w:r>
              <w:rPr>
                <w:noProof/>
                <w:color w:val="000000" w:themeColor="text1"/>
              </w:rPr>
              <w:drawing>
                <wp:inline distT="0" distB="0" distL="0" distR="0" wp14:anchorId="0450875C" wp14:editId="0450875D">
                  <wp:extent cx="365760" cy="365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1.png"/>
                          <pic:cNvPicPr/>
                        </pic:nvPicPr>
                        <pic:blipFill>
                          <a:blip r:embed="rId24">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2700" w:type="dxa"/>
            <w:tcBorders>
              <w:top w:val="nil"/>
              <w:left w:val="single" w:sz="12" w:space="0" w:color="FFFFFF" w:themeColor="background1"/>
              <w:bottom w:val="nil"/>
              <w:right w:val="single" w:sz="4" w:space="0" w:color="943634" w:themeColor="accent2" w:themeShade="BF"/>
            </w:tcBorders>
            <w:shd w:val="clear" w:color="auto" w:fill="D9D9D9" w:themeFill="background1" w:themeFillShade="D9"/>
            <w:vAlign w:val="center"/>
          </w:tcPr>
          <w:p w14:paraId="3BB58717" w14:textId="77777777" w:rsidR="00421530" w:rsidRPr="0058557C" w:rsidRDefault="009E403A" w:rsidP="00EE7C45">
            <w:pPr>
              <w:jc w:val="center"/>
              <w:rPr>
                <w:color w:val="404040" w:themeColor="text1" w:themeTint="BF"/>
              </w:rPr>
            </w:pPr>
            <w:r>
              <w:rPr>
                <w:noProof/>
                <w:color w:val="000000" w:themeColor="text1"/>
              </w:rPr>
              <w:drawing>
                <wp:inline distT="0" distB="0" distL="0" distR="0" wp14:anchorId="0450875E" wp14:editId="0450875F">
                  <wp:extent cx="365760" cy="3657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1.png"/>
                          <pic:cNvPicPr/>
                        </pic:nvPicPr>
                        <pic:blipFill>
                          <a:blip r:embed="rId24">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r>
      <w:tr w:rsidR="00421530" w14:paraId="651C2C4D" w14:textId="77777777" w:rsidTr="002A7FB8">
        <w:trPr>
          <w:trHeight w:val="189"/>
        </w:trPr>
        <w:tc>
          <w:tcPr>
            <w:tcW w:w="2520" w:type="dxa"/>
            <w:tcBorders>
              <w:top w:val="nil"/>
              <w:left w:val="single" w:sz="4" w:space="0" w:color="943634" w:themeColor="accent2" w:themeShade="BF"/>
              <w:bottom w:val="nil"/>
              <w:right w:val="single" w:sz="12" w:space="0" w:color="FFFFFF" w:themeColor="background1"/>
            </w:tcBorders>
            <w:shd w:val="clear" w:color="auto" w:fill="D9D9D9" w:themeFill="background1" w:themeFillShade="D9"/>
            <w:vAlign w:val="center"/>
          </w:tcPr>
          <w:p w14:paraId="77357077" w14:textId="77777777" w:rsidR="009E403A" w:rsidRPr="009E403A" w:rsidRDefault="009E403A" w:rsidP="009E403A">
            <w:pPr>
              <w:jc w:val="center"/>
              <w:rPr>
                <w:color w:val="404040" w:themeColor="text1" w:themeTint="BF"/>
                <w:sz w:val="16"/>
              </w:rPr>
            </w:pPr>
            <w:r w:rsidRPr="009E403A">
              <w:rPr>
                <w:color w:val="404040" w:themeColor="text1" w:themeTint="BF"/>
                <w:sz w:val="16"/>
              </w:rPr>
              <w:t>VM with SQL Server Business Intelligence Edition</w:t>
            </w:r>
          </w:p>
          <w:p w14:paraId="58288EF3" w14:textId="77777777" w:rsidR="00421530" w:rsidRPr="00421530" w:rsidRDefault="009E403A" w:rsidP="009E403A">
            <w:pPr>
              <w:jc w:val="center"/>
              <w:rPr>
                <w:color w:val="404040" w:themeColor="text1" w:themeTint="BF"/>
                <w:sz w:val="16"/>
              </w:rPr>
            </w:pPr>
            <w:r w:rsidRPr="009E403A">
              <w:rPr>
                <w:color w:val="404040" w:themeColor="text1" w:themeTint="BF"/>
                <w:sz w:val="16"/>
              </w:rPr>
              <w:t>1 Server license required + CALs</w:t>
            </w:r>
          </w:p>
        </w:tc>
        <w:tc>
          <w:tcPr>
            <w:tcW w:w="2700" w:type="dxa"/>
            <w:tcBorders>
              <w:top w:val="nil"/>
              <w:left w:val="single" w:sz="12" w:space="0" w:color="FFFFFF" w:themeColor="background1"/>
              <w:bottom w:val="nil"/>
              <w:right w:val="single" w:sz="4" w:space="0" w:color="943634" w:themeColor="accent2" w:themeShade="BF"/>
            </w:tcBorders>
            <w:shd w:val="clear" w:color="auto" w:fill="D9D9D9" w:themeFill="background1" w:themeFillShade="D9"/>
            <w:vAlign w:val="center"/>
          </w:tcPr>
          <w:p w14:paraId="2700D4B9" w14:textId="77777777" w:rsidR="009E403A" w:rsidRPr="009E403A" w:rsidRDefault="009E403A" w:rsidP="009E403A">
            <w:pPr>
              <w:jc w:val="center"/>
              <w:rPr>
                <w:color w:val="404040" w:themeColor="text1" w:themeTint="BF"/>
                <w:sz w:val="16"/>
              </w:rPr>
            </w:pPr>
            <w:r w:rsidRPr="009E403A">
              <w:rPr>
                <w:color w:val="404040" w:themeColor="text1" w:themeTint="BF"/>
                <w:sz w:val="16"/>
              </w:rPr>
              <w:t>VM with SQL Server Standard Edition</w:t>
            </w:r>
          </w:p>
          <w:p w14:paraId="65ED8BE1" w14:textId="77777777" w:rsidR="00421530" w:rsidRPr="00421530" w:rsidRDefault="009E403A" w:rsidP="009E403A">
            <w:pPr>
              <w:jc w:val="center"/>
              <w:rPr>
                <w:color w:val="404040" w:themeColor="text1" w:themeTint="BF"/>
                <w:sz w:val="16"/>
              </w:rPr>
            </w:pPr>
            <w:r w:rsidRPr="009E403A">
              <w:rPr>
                <w:color w:val="404040" w:themeColor="text1" w:themeTint="BF"/>
                <w:sz w:val="16"/>
              </w:rPr>
              <w:t>1 Server license required + CALs</w:t>
            </w:r>
          </w:p>
        </w:tc>
      </w:tr>
      <w:tr w:rsidR="00421530" w14:paraId="154BE0A0" w14:textId="77777777" w:rsidTr="002A7FB8">
        <w:trPr>
          <w:trHeight w:val="189"/>
        </w:trPr>
        <w:tc>
          <w:tcPr>
            <w:tcW w:w="5220" w:type="dxa"/>
            <w:gridSpan w:val="2"/>
            <w:tcBorders>
              <w:top w:val="nil"/>
              <w:left w:val="single" w:sz="4" w:space="0" w:color="943634" w:themeColor="accent2" w:themeShade="BF"/>
              <w:bottom w:val="single" w:sz="4" w:space="0" w:color="943634" w:themeColor="accent2" w:themeShade="BF"/>
              <w:right w:val="single" w:sz="4" w:space="0" w:color="943634" w:themeColor="accent2" w:themeShade="BF"/>
            </w:tcBorders>
            <w:vAlign w:val="center"/>
          </w:tcPr>
          <w:p w14:paraId="04DC5F97" w14:textId="77777777" w:rsidR="00421530" w:rsidRPr="0058557C" w:rsidRDefault="00421530" w:rsidP="00514160">
            <w:pPr>
              <w:spacing w:before="120"/>
              <w:jc w:val="center"/>
              <w:rPr>
                <w:color w:val="404040" w:themeColor="text1" w:themeTint="BF"/>
              </w:rPr>
            </w:pPr>
            <w:r w:rsidRPr="002F43F4">
              <w:rPr>
                <w:noProof/>
                <w:color w:val="000000"/>
              </w:rPr>
              <w:drawing>
                <wp:inline distT="0" distB="0" distL="0" distR="0" wp14:anchorId="04508760" wp14:editId="04508761">
                  <wp:extent cx="473279" cy="36576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png"/>
                          <pic:cNvPicPr/>
                        </pic:nvPicPr>
                        <pic:blipFill rotWithShape="1">
                          <a:blip r:embed="rId22">
                            <a:extLst>
                              <a:ext uri="{28A0092B-C50C-407E-A947-70E740481C1C}">
                                <a14:useLocalDpi xmlns:a14="http://schemas.microsoft.com/office/drawing/2010/main" val="0"/>
                              </a:ext>
                            </a:extLst>
                          </a:blip>
                          <a:srcRect l="-6931" t="-10605" r="-6931" b="-9092"/>
                          <a:stretch/>
                        </pic:blipFill>
                        <pic:spPr bwMode="auto">
                          <a:xfrm>
                            <a:off x="0" y="0"/>
                            <a:ext cx="473279" cy="3657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F51984" w14:textId="77777777" w:rsidR="00EC7B62" w:rsidRDefault="00EC7B62" w:rsidP="00F23CFE">
      <w:pPr>
        <w:pStyle w:val="Heading3"/>
      </w:pPr>
    </w:p>
    <w:p w14:paraId="47E0AA0E" w14:textId="77777777" w:rsidR="004C04E0" w:rsidRDefault="004C04E0" w:rsidP="00F23CFE">
      <w:pPr>
        <w:pStyle w:val="Heading3"/>
      </w:pPr>
    </w:p>
    <w:p w14:paraId="10E8B168" w14:textId="77777777" w:rsidR="006E4114" w:rsidRPr="002F43F4" w:rsidRDefault="00C33D98" w:rsidP="00F23CFE">
      <w:pPr>
        <w:pStyle w:val="Heading3"/>
        <w:rPr>
          <w:b/>
        </w:rPr>
      </w:pPr>
      <w:r>
        <w:t>High Density</w:t>
      </w:r>
      <w:r w:rsidR="009F55A2" w:rsidRPr="002F43F4">
        <w:t xml:space="preserve"> </w:t>
      </w:r>
      <w:r w:rsidR="006E4114" w:rsidRPr="002F43F4">
        <w:t>Virtualization</w:t>
      </w:r>
    </w:p>
    <w:p w14:paraId="49EA9FD9" w14:textId="77777777" w:rsidR="00C10690" w:rsidRDefault="00044ECA" w:rsidP="00514160">
      <w:pPr>
        <w:pStyle w:val="VLBodyBullet"/>
      </w:pPr>
      <w:r w:rsidRPr="00C10690">
        <w:t xml:space="preserve">Further savings can be achieved </w:t>
      </w:r>
      <w:r w:rsidR="006E4114" w:rsidRPr="00C10690">
        <w:t xml:space="preserve">by operating a database server utility or SQL </w:t>
      </w:r>
      <w:r w:rsidR="00812663">
        <w:t xml:space="preserve">Server </w:t>
      </w:r>
      <w:r w:rsidR="006E4114" w:rsidRPr="00C10690">
        <w:t>private cloud</w:t>
      </w:r>
      <w:r w:rsidR="00372794" w:rsidRPr="00C10690">
        <w:t>.</w:t>
      </w:r>
      <w:r w:rsidR="006E4114" w:rsidRPr="00C10690">
        <w:t> </w:t>
      </w:r>
      <w:r w:rsidR="00372794" w:rsidRPr="00C10690">
        <w:t xml:space="preserve">This is a great option for customers who want to take advantage of the full </w:t>
      </w:r>
      <w:r w:rsidR="000E2308">
        <w:t>computing</w:t>
      </w:r>
      <w:r w:rsidR="00372794" w:rsidRPr="00C10690">
        <w:t xml:space="preserve"> power of their physical servers</w:t>
      </w:r>
      <w:r w:rsidR="009110C8">
        <w:t xml:space="preserve"> and </w:t>
      </w:r>
      <w:r w:rsidR="000919F4" w:rsidRPr="00C10690">
        <w:lastRenderedPageBreak/>
        <w:t>have very dynamic provisioning and de-provisioning of virtual resources</w:t>
      </w:r>
      <w:r w:rsidR="00372794" w:rsidRPr="00C10690">
        <w:t xml:space="preserve">. </w:t>
      </w:r>
    </w:p>
    <w:p w14:paraId="49032318" w14:textId="77777777" w:rsidR="00C10690" w:rsidRDefault="00372794" w:rsidP="00514160">
      <w:pPr>
        <w:pStyle w:val="VLBodyBullet"/>
      </w:pPr>
      <w:r w:rsidRPr="00C10690">
        <w:t xml:space="preserve">Customers will be able to deploy an unlimited number of </w:t>
      </w:r>
      <w:r w:rsidR="00F258F8">
        <w:t>VM’s</w:t>
      </w:r>
      <w:r w:rsidRPr="00C10690">
        <w:t xml:space="preserve"> on the server and utilize the full capacity of the licensed hardware. </w:t>
      </w:r>
    </w:p>
    <w:p w14:paraId="186632B4" w14:textId="77777777" w:rsidR="00B26B08" w:rsidRDefault="00372794" w:rsidP="00045893">
      <w:pPr>
        <w:pStyle w:val="VLBodyBullet"/>
      </w:pPr>
      <w:r w:rsidRPr="00C10690">
        <w:t xml:space="preserve">They can do so by fully licensing the server (or server farm) with Enterprise Edition </w:t>
      </w:r>
      <w:r w:rsidR="002977A2">
        <w:t>c</w:t>
      </w:r>
      <w:r w:rsidRPr="00C10690">
        <w:t xml:space="preserve">ore </w:t>
      </w:r>
      <w:r w:rsidR="002977A2">
        <w:t>l</w:t>
      </w:r>
      <w:r w:rsidRPr="00C10690">
        <w:t xml:space="preserve">icenses </w:t>
      </w:r>
      <w:r w:rsidRPr="00C33D98">
        <w:rPr>
          <w:i/>
        </w:rPr>
        <w:t>and Software Assurance</w:t>
      </w:r>
      <w:r w:rsidR="000B3484" w:rsidRPr="00C10690">
        <w:t xml:space="preserve"> based on the total number of physical cores on the servers</w:t>
      </w:r>
      <w:r w:rsidRPr="00C10690">
        <w:t xml:space="preserve">.  </w:t>
      </w:r>
      <w:r w:rsidR="00C33D98">
        <w:t>SA then enables the</w:t>
      </w:r>
      <w:r w:rsidRPr="00C10690">
        <w:t xml:space="preserve"> ability to </w:t>
      </w:r>
      <w:r w:rsidR="00812663">
        <w:t>run an</w:t>
      </w:r>
      <w:r w:rsidRPr="00C10690">
        <w:t xml:space="preserve"> </w:t>
      </w:r>
      <w:r w:rsidR="00344040" w:rsidRPr="00C10690">
        <w:t xml:space="preserve">unlimited </w:t>
      </w:r>
      <w:r w:rsidR="00812663">
        <w:t xml:space="preserve">number of </w:t>
      </w:r>
      <w:r w:rsidRPr="00C10690">
        <w:t>virtual machines to handle dynamic workloads</w:t>
      </w:r>
      <w:r w:rsidR="00344040" w:rsidRPr="00C10690">
        <w:t xml:space="preserve"> and fully utilize the hardware’s </w:t>
      </w:r>
      <w:r w:rsidR="000E2308">
        <w:t>computing</w:t>
      </w:r>
      <w:r w:rsidR="00344040" w:rsidRPr="00C10690">
        <w:t xml:space="preserve"> power.</w:t>
      </w:r>
    </w:p>
    <w:p w14:paraId="107335DC" w14:textId="78986FAF" w:rsidR="00A93CAC" w:rsidRDefault="00A93CAC" w:rsidP="00045893">
      <w:pPr>
        <w:pStyle w:val="VLBodyBullet"/>
      </w:pPr>
      <w:r>
        <w:t>Customers cannot license for unlimited virtualization with SQL Server 2008 R2 EE Server + CAL. This was only a temporary use right grant with SA.</w:t>
      </w:r>
    </w:p>
    <w:p w14:paraId="23B3D4D8" w14:textId="77777777" w:rsidR="008248D0" w:rsidRPr="004C04E0" w:rsidRDefault="008248D0" w:rsidP="008248D0">
      <w:pPr>
        <w:pStyle w:val="VLBodyBullet"/>
        <w:numPr>
          <w:ilvl w:val="0"/>
          <w:numId w:val="0"/>
        </w:numPr>
        <w:ind w:left="360"/>
        <w:rPr>
          <w:sz w:val="2"/>
        </w:rPr>
      </w:pPr>
    </w:p>
    <w:tbl>
      <w:tblPr>
        <w:tblStyle w:val="TableGrid"/>
        <w:tblW w:w="0" w:type="auto"/>
        <w:tblInd w:w="108"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2520"/>
        <w:gridCol w:w="90"/>
        <w:gridCol w:w="2610"/>
      </w:tblGrid>
      <w:tr w:rsidR="00B26B08" w:rsidRPr="00421530" w14:paraId="307B6876" w14:textId="77777777" w:rsidTr="006458D6">
        <w:tc>
          <w:tcPr>
            <w:tcW w:w="5220" w:type="dxa"/>
            <w:gridSpan w:val="3"/>
            <w:tcBorders>
              <w:bottom w:val="nil"/>
              <w:right w:val="single" w:sz="4" w:space="0" w:color="943634" w:themeColor="accent2" w:themeShade="BF"/>
            </w:tcBorders>
            <w:vAlign w:val="center"/>
          </w:tcPr>
          <w:p w14:paraId="44F937D0" w14:textId="77777777" w:rsidR="00B26B08" w:rsidRDefault="00B26B08" w:rsidP="00656E26">
            <w:pPr>
              <w:autoSpaceDE w:val="0"/>
              <w:autoSpaceDN w:val="0"/>
              <w:adjustRightInd w:val="0"/>
              <w:spacing w:after="0" w:line="240" w:lineRule="auto"/>
              <w:rPr>
                <w:b/>
                <w:color w:val="404040" w:themeColor="text1" w:themeTint="BF"/>
                <w:sz w:val="20"/>
              </w:rPr>
            </w:pPr>
            <w:r>
              <w:rPr>
                <w:b/>
                <w:color w:val="404040" w:themeColor="text1" w:themeTint="BF"/>
                <w:sz w:val="20"/>
              </w:rPr>
              <w:t xml:space="preserve">Licensing SQL </w:t>
            </w:r>
            <w:r w:rsidR="00C33D98">
              <w:rPr>
                <w:b/>
                <w:color w:val="404040" w:themeColor="text1" w:themeTint="BF"/>
                <w:sz w:val="20"/>
              </w:rPr>
              <w:t xml:space="preserve">Server </w:t>
            </w:r>
            <w:r>
              <w:rPr>
                <w:b/>
                <w:color w:val="404040" w:themeColor="text1" w:themeTint="BF"/>
                <w:sz w:val="20"/>
              </w:rPr>
              <w:t>private cloud:</w:t>
            </w:r>
          </w:p>
          <w:p w14:paraId="27DEFC22" w14:textId="77777777" w:rsidR="00B26B08" w:rsidRPr="004C04E0" w:rsidRDefault="00B26B08" w:rsidP="00656E26">
            <w:pPr>
              <w:autoSpaceDE w:val="0"/>
              <w:autoSpaceDN w:val="0"/>
              <w:adjustRightInd w:val="0"/>
              <w:spacing w:after="0" w:line="240" w:lineRule="auto"/>
              <w:rPr>
                <w:rFonts w:cstheme="minorHAnsi"/>
                <w:b/>
                <w:bCs/>
                <w:color w:val="404040" w:themeColor="text1" w:themeTint="BF"/>
                <w:sz w:val="4"/>
                <w:szCs w:val="20"/>
              </w:rPr>
            </w:pPr>
          </w:p>
        </w:tc>
      </w:tr>
      <w:tr w:rsidR="00B26B08" w:rsidRPr="00B26B08" w14:paraId="595812B1" w14:textId="77777777" w:rsidTr="006458D6">
        <w:tc>
          <w:tcPr>
            <w:tcW w:w="5220" w:type="dxa"/>
            <w:gridSpan w:val="3"/>
            <w:tcBorders>
              <w:top w:val="nil"/>
              <w:bottom w:val="nil"/>
              <w:right w:val="single" w:sz="4" w:space="0" w:color="943634" w:themeColor="accent2" w:themeShade="BF"/>
            </w:tcBorders>
            <w:vAlign w:val="center"/>
          </w:tcPr>
          <w:p w14:paraId="096354FB" w14:textId="77777777" w:rsidR="00B26B08" w:rsidRDefault="00B26B08" w:rsidP="00656E26">
            <w:pPr>
              <w:pStyle w:val="ListParagraph"/>
              <w:numPr>
                <w:ilvl w:val="0"/>
                <w:numId w:val="10"/>
              </w:numPr>
              <w:ind w:left="432" w:hanging="270"/>
              <w:rPr>
                <w:color w:val="404040" w:themeColor="text1" w:themeTint="BF"/>
                <w:sz w:val="20"/>
              </w:rPr>
            </w:pPr>
            <w:r>
              <w:rPr>
                <w:color w:val="404040" w:themeColor="text1" w:themeTint="BF"/>
                <w:sz w:val="20"/>
              </w:rPr>
              <w:t>License all the physical cores on the server with Enterprise Edition core licenses and SA</w:t>
            </w:r>
          </w:p>
          <w:p w14:paraId="42BFDA0E" w14:textId="77777777" w:rsidR="00B26B08" w:rsidRPr="004C04E0" w:rsidRDefault="00B26B08" w:rsidP="00656E26">
            <w:pPr>
              <w:pStyle w:val="ListParagraph"/>
              <w:numPr>
                <w:ilvl w:val="0"/>
                <w:numId w:val="0"/>
              </w:numPr>
              <w:ind w:left="432"/>
              <w:rPr>
                <w:color w:val="404040" w:themeColor="text1" w:themeTint="BF"/>
                <w:sz w:val="4"/>
              </w:rPr>
            </w:pPr>
          </w:p>
          <w:p w14:paraId="551D1FC1" w14:textId="77777777" w:rsidR="00B26B08" w:rsidRPr="00B26B08" w:rsidRDefault="00B26B08" w:rsidP="00656E26">
            <w:pPr>
              <w:pStyle w:val="ListParagraph"/>
              <w:numPr>
                <w:ilvl w:val="0"/>
                <w:numId w:val="10"/>
              </w:numPr>
              <w:ind w:left="432" w:hanging="270"/>
              <w:rPr>
                <w:color w:val="404040" w:themeColor="text1" w:themeTint="BF"/>
                <w:sz w:val="20"/>
              </w:rPr>
            </w:pPr>
            <w:r>
              <w:rPr>
                <w:color w:val="404040" w:themeColor="text1" w:themeTint="BF"/>
                <w:sz w:val="20"/>
              </w:rPr>
              <w:t>Deploy an unlimited number of VMs</w:t>
            </w:r>
          </w:p>
        </w:tc>
      </w:tr>
      <w:tr w:rsidR="006458D6" w:rsidRPr="00B26B08" w14:paraId="52FB2805" w14:textId="77777777" w:rsidTr="006458D6">
        <w:tc>
          <w:tcPr>
            <w:tcW w:w="5220" w:type="dxa"/>
            <w:gridSpan w:val="3"/>
            <w:tcBorders>
              <w:top w:val="nil"/>
              <w:bottom w:val="nil"/>
              <w:right w:val="single" w:sz="4" w:space="0" w:color="943634" w:themeColor="accent2" w:themeShade="BF"/>
            </w:tcBorders>
            <w:vAlign w:val="center"/>
          </w:tcPr>
          <w:p w14:paraId="22D1F981" w14:textId="77777777" w:rsidR="006458D6" w:rsidRPr="004C04E0" w:rsidRDefault="006458D6" w:rsidP="006458D6">
            <w:pPr>
              <w:rPr>
                <w:color w:val="404040" w:themeColor="text1" w:themeTint="BF"/>
                <w:sz w:val="2"/>
              </w:rPr>
            </w:pPr>
          </w:p>
          <w:p w14:paraId="6C5D7E3C" w14:textId="77777777" w:rsidR="006458D6" w:rsidRPr="008248D0" w:rsidRDefault="006458D6" w:rsidP="006458D6">
            <w:pPr>
              <w:rPr>
                <w:b/>
                <w:color w:val="404040" w:themeColor="text1" w:themeTint="BF"/>
                <w:sz w:val="20"/>
              </w:rPr>
            </w:pPr>
            <w:r w:rsidRPr="008248D0">
              <w:rPr>
                <w:b/>
                <w:color w:val="404040" w:themeColor="text1" w:themeTint="BF"/>
                <w:sz w:val="20"/>
              </w:rPr>
              <w:t>Example</w:t>
            </w:r>
          </w:p>
          <w:p w14:paraId="59C0C2B9" w14:textId="77777777" w:rsidR="006458D6" w:rsidRPr="008248D0" w:rsidRDefault="006458D6" w:rsidP="006458D6">
            <w:pPr>
              <w:rPr>
                <w:color w:val="404040" w:themeColor="text1" w:themeTint="BF"/>
                <w:sz w:val="4"/>
              </w:rPr>
            </w:pPr>
          </w:p>
        </w:tc>
      </w:tr>
      <w:tr w:rsidR="006458D6" w:rsidRPr="00B26B08" w14:paraId="4751EF6F" w14:textId="77777777" w:rsidTr="006458D6">
        <w:tc>
          <w:tcPr>
            <w:tcW w:w="2610" w:type="dxa"/>
            <w:gridSpan w:val="2"/>
            <w:tcBorders>
              <w:top w:val="nil"/>
              <w:bottom w:val="nil"/>
              <w:right w:val="nil"/>
            </w:tcBorders>
            <w:vAlign w:val="center"/>
          </w:tcPr>
          <w:p w14:paraId="083B287A" w14:textId="77777777" w:rsidR="006458D6" w:rsidRDefault="006458D6" w:rsidP="006458D6">
            <w:pPr>
              <w:jc w:val="center"/>
              <w:rPr>
                <w:b/>
                <w:color w:val="404040" w:themeColor="text1" w:themeTint="BF"/>
                <w:sz w:val="20"/>
              </w:rPr>
            </w:pPr>
            <w:r w:rsidRPr="006458D6">
              <w:rPr>
                <w:b/>
                <w:color w:val="404040" w:themeColor="text1" w:themeTint="BF"/>
                <w:sz w:val="20"/>
              </w:rPr>
              <w:t>What you License</w:t>
            </w:r>
          </w:p>
          <w:p w14:paraId="608C8FEF" w14:textId="77777777" w:rsidR="006458D6" w:rsidRPr="006458D6" w:rsidRDefault="006458D6" w:rsidP="006458D6">
            <w:pPr>
              <w:jc w:val="center"/>
              <w:rPr>
                <w:color w:val="404040" w:themeColor="text1" w:themeTint="BF"/>
                <w:sz w:val="20"/>
              </w:rPr>
            </w:pPr>
            <w:r w:rsidRPr="006458D6">
              <w:rPr>
                <w:color w:val="404040" w:themeColor="text1" w:themeTint="BF"/>
                <w:sz w:val="20"/>
              </w:rPr>
              <w:t>Physical Cores w/EE+SA</w:t>
            </w:r>
          </w:p>
        </w:tc>
        <w:tc>
          <w:tcPr>
            <w:tcW w:w="2610" w:type="dxa"/>
            <w:tcBorders>
              <w:top w:val="nil"/>
              <w:left w:val="nil"/>
              <w:bottom w:val="nil"/>
              <w:right w:val="single" w:sz="4" w:space="0" w:color="943634" w:themeColor="accent2" w:themeShade="BF"/>
            </w:tcBorders>
            <w:vAlign w:val="center"/>
          </w:tcPr>
          <w:p w14:paraId="0B7AA5D5" w14:textId="77777777" w:rsidR="006458D6" w:rsidRDefault="006458D6" w:rsidP="006458D6">
            <w:pPr>
              <w:jc w:val="center"/>
              <w:rPr>
                <w:b/>
                <w:color w:val="404040" w:themeColor="text1" w:themeTint="BF"/>
                <w:sz w:val="20"/>
              </w:rPr>
            </w:pPr>
            <w:r w:rsidRPr="006458D6">
              <w:rPr>
                <w:b/>
                <w:color w:val="404040" w:themeColor="text1" w:themeTint="BF"/>
                <w:sz w:val="20"/>
              </w:rPr>
              <w:t xml:space="preserve">What </w:t>
            </w:r>
            <w:r>
              <w:rPr>
                <w:b/>
                <w:color w:val="404040" w:themeColor="text1" w:themeTint="BF"/>
                <w:sz w:val="20"/>
              </w:rPr>
              <w:t>you Deploy</w:t>
            </w:r>
          </w:p>
          <w:p w14:paraId="7B38A654" w14:textId="77777777" w:rsidR="006458D6" w:rsidRPr="006458D6" w:rsidRDefault="006458D6" w:rsidP="006458D6">
            <w:pPr>
              <w:jc w:val="center"/>
              <w:rPr>
                <w:color w:val="404040" w:themeColor="text1" w:themeTint="BF"/>
                <w:sz w:val="20"/>
              </w:rPr>
            </w:pPr>
            <w:r w:rsidRPr="006458D6">
              <w:rPr>
                <w:color w:val="404040" w:themeColor="text1" w:themeTint="BF"/>
                <w:sz w:val="20"/>
              </w:rPr>
              <w:t>Unlimited VMs (example 6)</w:t>
            </w:r>
          </w:p>
        </w:tc>
      </w:tr>
      <w:tr w:rsidR="008248D0" w14:paraId="440CAA87" w14:textId="77777777" w:rsidTr="006458D6">
        <w:trPr>
          <w:trHeight w:val="189"/>
        </w:trPr>
        <w:tc>
          <w:tcPr>
            <w:tcW w:w="2520" w:type="dxa"/>
            <w:vMerge w:val="restart"/>
            <w:tcBorders>
              <w:top w:val="nil"/>
              <w:right w:val="single" w:sz="12" w:space="0" w:color="FFFFFF" w:themeColor="background1"/>
            </w:tcBorders>
            <w:shd w:val="clear" w:color="auto" w:fill="D9D9D9" w:themeFill="background1" w:themeFillShade="D9"/>
            <w:vAlign w:val="center"/>
          </w:tcPr>
          <w:p w14:paraId="2D5B462C" w14:textId="77777777" w:rsidR="008248D0" w:rsidRDefault="008248D0" w:rsidP="00656E26">
            <w:pPr>
              <w:spacing w:before="60"/>
              <w:jc w:val="center"/>
            </w:pPr>
            <w:r>
              <w:t>Single Server, 2 physical processors, 6 cores/processor (12 total)</w:t>
            </w:r>
          </w:p>
          <w:p w14:paraId="219FDF73" w14:textId="77777777" w:rsidR="008248D0" w:rsidRDefault="008248D0" w:rsidP="00656E26">
            <w:pPr>
              <w:spacing w:before="60"/>
              <w:jc w:val="center"/>
            </w:pPr>
          </w:p>
          <w:p w14:paraId="0D4C13F9" w14:textId="77777777" w:rsidR="008248D0" w:rsidRDefault="008248D0" w:rsidP="00656E26">
            <w:pPr>
              <w:spacing w:before="60"/>
              <w:jc w:val="center"/>
            </w:pPr>
            <w:r w:rsidRPr="002F43F4">
              <w:rPr>
                <w:noProof/>
                <w:color w:val="000000"/>
              </w:rPr>
              <w:drawing>
                <wp:inline distT="0" distB="0" distL="0" distR="0" wp14:anchorId="69F72FE4" wp14:editId="4AF52E5F">
                  <wp:extent cx="473279" cy="36576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png"/>
                          <pic:cNvPicPr/>
                        </pic:nvPicPr>
                        <pic:blipFill rotWithShape="1">
                          <a:blip r:embed="rId22">
                            <a:extLst>
                              <a:ext uri="{28A0092B-C50C-407E-A947-70E740481C1C}">
                                <a14:useLocalDpi xmlns:a14="http://schemas.microsoft.com/office/drawing/2010/main" val="0"/>
                              </a:ext>
                            </a:extLst>
                          </a:blip>
                          <a:srcRect l="-6931" t="-10605" r="-6931" b="-9092"/>
                          <a:stretch/>
                        </pic:blipFill>
                        <pic:spPr bwMode="auto">
                          <a:xfrm>
                            <a:off x="0" y="0"/>
                            <a:ext cx="473279" cy="365760"/>
                          </a:xfrm>
                          <a:prstGeom prst="rect">
                            <a:avLst/>
                          </a:prstGeom>
                          <a:ln>
                            <a:noFill/>
                          </a:ln>
                          <a:extLst>
                            <a:ext uri="{53640926-AAD7-44D8-BBD7-CCE9431645EC}">
                              <a14:shadowObscured xmlns:a14="http://schemas.microsoft.com/office/drawing/2010/main"/>
                            </a:ext>
                          </a:extLst>
                        </pic:spPr>
                      </pic:pic>
                    </a:graphicData>
                  </a:graphic>
                </wp:inline>
              </w:drawing>
            </w:r>
            <w:r>
              <w:object w:dxaOrig="2850" w:dyaOrig="2565" w14:anchorId="7F5E3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20.4pt" o:ole="">
                  <v:imagedata r:id="rId25" o:title=""/>
                </v:shape>
                <o:OLEObject Type="Embed" ProgID="PBrush" ShapeID="_x0000_i1025" DrawAspect="Content" ObjectID="_1393162878" r:id="rId26"/>
              </w:object>
            </w:r>
            <w:r>
              <w:object w:dxaOrig="2850" w:dyaOrig="2565" w14:anchorId="25843B89">
                <v:shape id="_x0000_i1026" type="#_x0000_t75" style="width:22.8pt;height:20.4pt" o:ole="">
                  <v:imagedata r:id="rId25" o:title=""/>
                </v:shape>
                <o:OLEObject Type="Embed" ProgID="PBrush" ShapeID="_x0000_i1026" DrawAspect="Content" ObjectID="_1393162879" r:id="rId27"/>
              </w:object>
            </w:r>
          </w:p>
          <w:p w14:paraId="4D663887" w14:textId="77777777" w:rsidR="008248D0" w:rsidRDefault="008248D0" w:rsidP="00656E26">
            <w:pPr>
              <w:spacing w:before="60"/>
              <w:jc w:val="center"/>
            </w:pPr>
          </w:p>
          <w:p w14:paraId="65937BB7" w14:textId="77777777" w:rsidR="008248D0" w:rsidRPr="008248D0" w:rsidRDefault="008248D0" w:rsidP="008248D0">
            <w:pPr>
              <w:spacing w:before="60"/>
              <w:rPr>
                <w:b/>
                <w:sz w:val="20"/>
              </w:rPr>
            </w:pPr>
            <w:r w:rsidRPr="008248D0">
              <w:rPr>
                <w:b/>
                <w:sz w:val="20"/>
              </w:rPr>
              <w:t>What to Buy</w:t>
            </w:r>
            <w:r>
              <w:rPr>
                <w:b/>
                <w:sz w:val="20"/>
              </w:rPr>
              <w:t>:</w:t>
            </w:r>
          </w:p>
          <w:p w14:paraId="65FE122A" w14:textId="77777777" w:rsidR="008248D0" w:rsidRDefault="008248D0" w:rsidP="00656E26">
            <w:pPr>
              <w:spacing w:before="60"/>
              <w:jc w:val="center"/>
            </w:pPr>
          </w:p>
          <w:p w14:paraId="5F0BCAAB" w14:textId="77777777" w:rsidR="008248D0" w:rsidRPr="00421530" w:rsidRDefault="008248D0" w:rsidP="008248D0">
            <w:pPr>
              <w:spacing w:before="60"/>
              <w:rPr>
                <w:b/>
                <w:color w:val="404040" w:themeColor="text1" w:themeTint="BF"/>
              </w:rPr>
            </w:pPr>
            <w:r>
              <w:rPr>
                <w:b/>
                <w:color w:val="404040" w:themeColor="text1" w:themeTint="BF"/>
              </w:rPr>
              <w:t>12 SQL Server Enterprise Edition core licenses + SA</w:t>
            </w:r>
          </w:p>
        </w:tc>
        <w:tc>
          <w:tcPr>
            <w:tcW w:w="2700" w:type="dxa"/>
            <w:gridSpan w:val="2"/>
            <w:tcBorders>
              <w:top w:val="nil"/>
              <w:left w:val="single" w:sz="12" w:space="0" w:color="FFFFFF" w:themeColor="background1"/>
              <w:bottom w:val="dotted" w:sz="4" w:space="0" w:color="auto"/>
              <w:right w:val="single" w:sz="4" w:space="0" w:color="943634" w:themeColor="accent2" w:themeShade="BF"/>
            </w:tcBorders>
            <w:shd w:val="clear" w:color="auto" w:fill="D9D9D9" w:themeFill="background1" w:themeFillShade="D9"/>
            <w:vAlign w:val="center"/>
          </w:tcPr>
          <w:p w14:paraId="626AF429" w14:textId="77777777" w:rsidR="008248D0" w:rsidRDefault="008248D0" w:rsidP="00656E26">
            <w:pPr>
              <w:spacing w:before="60"/>
              <w:jc w:val="center"/>
              <w:rPr>
                <w:b/>
                <w:color w:val="404040" w:themeColor="text1" w:themeTint="BF"/>
              </w:rPr>
            </w:pPr>
            <w:r>
              <w:rPr>
                <w:b/>
                <w:color w:val="404040" w:themeColor="text1" w:themeTint="BF"/>
              </w:rPr>
              <w:t>VM1</w:t>
            </w:r>
          </w:p>
          <w:p w14:paraId="3C25B444" w14:textId="77777777" w:rsidR="008248D0" w:rsidRPr="00421530" w:rsidRDefault="008248D0" w:rsidP="00656E26">
            <w:pPr>
              <w:spacing w:before="60"/>
              <w:jc w:val="center"/>
              <w:rPr>
                <w:b/>
                <w:color w:val="404040" w:themeColor="text1" w:themeTint="BF"/>
              </w:rPr>
            </w:pPr>
            <w:r>
              <w:object w:dxaOrig="1920" w:dyaOrig="375" w14:anchorId="52228049">
                <v:shape id="_x0000_i1027" type="#_x0000_t75" style="width:96pt;height:19.2pt" o:ole="">
                  <v:imagedata r:id="rId28" o:title=""/>
                </v:shape>
                <o:OLEObject Type="Embed" ProgID="PBrush" ShapeID="_x0000_i1027" DrawAspect="Content" ObjectID="_1393162880" r:id="rId29"/>
              </w:object>
            </w:r>
          </w:p>
        </w:tc>
      </w:tr>
      <w:tr w:rsidR="008248D0" w14:paraId="07F16B10" w14:textId="77777777" w:rsidTr="006458D6">
        <w:trPr>
          <w:trHeight w:val="189"/>
        </w:trPr>
        <w:tc>
          <w:tcPr>
            <w:tcW w:w="2520" w:type="dxa"/>
            <w:vMerge/>
            <w:tcBorders>
              <w:right w:val="single" w:sz="12" w:space="0" w:color="FFFFFF" w:themeColor="background1"/>
            </w:tcBorders>
            <w:shd w:val="clear" w:color="auto" w:fill="D9D9D9" w:themeFill="background1" w:themeFillShade="D9"/>
            <w:vAlign w:val="center"/>
          </w:tcPr>
          <w:p w14:paraId="34F6D529" w14:textId="77777777" w:rsidR="008248D0" w:rsidRPr="00421530" w:rsidRDefault="008248D0" w:rsidP="00656E26">
            <w:pPr>
              <w:spacing w:before="60"/>
              <w:jc w:val="center"/>
              <w:rPr>
                <w:b/>
                <w:color w:val="404040" w:themeColor="text1" w:themeTint="BF"/>
              </w:rPr>
            </w:pPr>
          </w:p>
        </w:tc>
        <w:tc>
          <w:tcPr>
            <w:tcW w:w="2700" w:type="dxa"/>
            <w:gridSpan w:val="2"/>
            <w:tcBorders>
              <w:top w:val="dotted" w:sz="4" w:space="0" w:color="auto"/>
              <w:left w:val="single" w:sz="12" w:space="0" w:color="FFFFFF" w:themeColor="background1"/>
              <w:bottom w:val="dotted" w:sz="4" w:space="0" w:color="auto"/>
              <w:right w:val="single" w:sz="4" w:space="0" w:color="943634" w:themeColor="accent2" w:themeShade="BF"/>
            </w:tcBorders>
            <w:shd w:val="clear" w:color="auto" w:fill="D9D9D9" w:themeFill="background1" w:themeFillShade="D9"/>
            <w:vAlign w:val="center"/>
          </w:tcPr>
          <w:p w14:paraId="7C5C50BF" w14:textId="77777777" w:rsidR="008248D0" w:rsidRDefault="008248D0" w:rsidP="00656E26">
            <w:pPr>
              <w:spacing w:before="60"/>
              <w:jc w:val="center"/>
              <w:rPr>
                <w:b/>
                <w:color w:val="404040" w:themeColor="text1" w:themeTint="BF"/>
              </w:rPr>
            </w:pPr>
            <w:r>
              <w:rPr>
                <w:b/>
                <w:color w:val="404040" w:themeColor="text1" w:themeTint="BF"/>
              </w:rPr>
              <w:t>VM2</w:t>
            </w:r>
          </w:p>
          <w:p w14:paraId="7C929AD5" w14:textId="77777777" w:rsidR="008248D0" w:rsidRPr="00421530" w:rsidRDefault="008248D0" w:rsidP="00656E26">
            <w:pPr>
              <w:spacing w:before="60"/>
              <w:jc w:val="center"/>
              <w:rPr>
                <w:b/>
                <w:color w:val="404040" w:themeColor="text1" w:themeTint="BF"/>
              </w:rPr>
            </w:pPr>
            <w:r>
              <w:object w:dxaOrig="1920" w:dyaOrig="375" w14:anchorId="1F762151">
                <v:shape id="_x0000_i1028" type="#_x0000_t75" style="width:96pt;height:19.2pt" o:ole="">
                  <v:imagedata r:id="rId28" o:title=""/>
                </v:shape>
                <o:OLEObject Type="Embed" ProgID="PBrush" ShapeID="_x0000_i1028" DrawAspect="Content" ObjectID="_1393162881" r:id="rId30"/>
              </w:object>
            </w:r>
          </w:p>
        </w:tc>
      </w:tr>
      <w:tr w:rsidR="008248D0" w14:paraId="6EA04B22" w14:textId="77777777" w:rsidTr="006458D6">
        <w:trPr>
          <w:trHeight w:val="189"/>
        </w:trPr>
        <w:tc>
          <w:tcPr>
            <w:tcW w:w="2520" w:type="dxa"/>
            <w:vMerge/>
            <w:tcBorders>
              <w:right w:val="single" w:sz="12" w:space="0" w:color="FFFFFF" w:themeColor="background1"/>
            </w:tcBorders>
            <w:shd w:val="clear" w:color="auto" w:fill="D9D9D9" w:themeFill="background1" w:themeFillShade="D9"/>
            <w:vAlign w:val="center"/>
          </w:tcPr>
          <w:p w14:paraId="53A501BA" w14:textId="77777777" w:rsidR="008248D0" w:rsidRPr="00421530" w:rsidRDefault="008248D0" w:rsidP="00656E26">
            <w:pPr>
              <w:spacing w:before="60"/>
              <w:jc w:val="center"/>
              <w:rPr>
                <w:b/>
                <w:color w:val="404040" w:themeColor="text1" w:themeTint="BF"/>
              </w:rPr>
            </w:pPr>
          </w:p>
        </w:tc>
        <w:tc>
          <w:tcPr>
            <w:tcW w:w="2700" w:type="dxa"/>
            <w:gridSpan w:val="2"/>
            <w:tcBorders>
              <w:top w:val="dotted" w:sz="4" w:space="0" w:color="auto"/>
              <w:left w:val="single" w:sz="12" w:space="0" w:color="FFFFFF" w:themeColor="background1"/>
              <w:bottom w:val="dotted" w:sz="4" w:space="0" w:color="auto"/>
              <w:right w:val="single" w:sz="4" w:space="0" w:color="943634" w:themeColor="accent2" w:themeShade="BF"/>
            </w:tcBorders>
            <w:shd w:val="clear" w:color="auto" w:fill="D9D9D9" w:themeFill="background1" w:themeFillShade="D9"/>
            <w:vAlign w:val="center"/>
          </w:tcPr>
          <w:p w14:paraId="7C403042" w14:textId="77777777" w:rsidR="008248D0" w:rsidRDefault="008248D0" w:rsidP="00656E26">
            <w:pPr>
              <w:spacing w:before="60"/>
              <w:jc w:val="center"/>
              <w:rPr>
                <w:b/>
                <w:color w:val="404040" w:themeColor="text1" w:themeTint="BF"/>
              </w:rPr>
            </w:pPr>
            <w:r>
              <w:rPr>
                <w:b/>
                <w:color w:val="404040" w:themeColor="text1" w:themeTint="BF"/>
              </w:rPr>
              <w:t>VM3</w:t>
            </w:r>
          </w:p>
          <w:p w14:paraId="45883F33" w14:textId="77777777" w:rsidR="008248D0" w:rsidRPr="00421530" w:rsidRDefault="008248D0" w:rsidP="00656E26">
            <w:pPr>
              <w:spacing w:before="60"/>
              <w:jc w:val="center"/>
              <w:rPr>
                <w:b/>
                <w:color w:val="404040" w:themeColor="text1" w:themeTint="BF"/>
              </w:rPr>
            </w:pPr>
            <w:r>
              <w:object w:dxaOrig="1920" w:dyaOrig="375" w14:anchorId="6C0CF38D">
                <v:shape id="_x0000_i1029" type="#_x0000_t75" style="width:96pt;height:19.2pt" o:ole="">
                  <v:imagedata r:id="rId28" o:title=""/>
                </v:shape>
                <o:OLEObject Type="Embed" ProgID="PBrush" ShapeID="_x0000_i1029" DrawAspect="Content" ObjectID="_1393162882" r:id="rId31"/>
              </w:object>
            </w:r>
          </w:p>
        </w:tc>
      </w:tr>
      <w:tr w:rsidR="008248D0" w14:paraId="4CB09CF7" w14:textId="77777777" w:rsidTr="00F97D87">
        <w:trPr>
          <w:trHeight w:val="189"/>
        </w:trPr>
        <w:tc>
          <w:tcPr>
            <w:tcW w:w="2520" w:type="dxa"/>
            <w:vMerge/>
            <w:tcBorders>
              <w:right w:val="single" w:sz="12" w:space="0" w:color="FFFFFF" w:themeColor="background1"/>
            </w:tcBorders>
            <w:shd w:val="clear" w:color="auto" w:fill="D9D9D9" w:themeFill="background1" w:themeFillShade="D9"/>
            <w:vAlign w:val="center"/>
          </w:tcPr>
          <w:p w14:paraId="166F5529" w14:textId="77777777" w:rsidR="008248D0" w:rsidRPr="00421530" w:rsidRDefault="008248D0" w:rsidP="00656E26">
            <w:pPr>
              <w:spacing w:before="60"/>
              <w:jc w:val="center"/>
              <w:rPr>
                <w:b/>
                <w:color w:val="404040" w:themeColor="text1" w:themeTint="BF"/>
              </w:rPr>
            </w:pPr>
          </w:p>
        </w:tc>
        <w:tc>
          <w:tcPr>
            <w:tcW w:w="2700" w:type="dxa"/>
            <w:gridSpan w:val="2"/>
            <w:tcBorders>
              <w:top w:val="dotted" w:sz="4" w:space="0" w:color="auto"/>
              <w:left w:val="single" w:sz="12" w:space="0" w:color="FFFFFF" w:themeColor="background1"/>
              <w:bottom w:val="dotted" w:sz="4" w:space="0" w:color="auto"/>
              <w:right w:val="single" w:sz="4" w:space="0" w:color="943634" w:themeColor="accent2" w:themeShade="BF"/>
            </w:tcBorders>
            <w:shd w:val="clear" w:color="auto" w:fill="D9D9D9" w:themeFill="background1" w:themeFillShade="D9"/>
            <w:vAlign w:val="center"/>
          </w:tcPr>
          <w:p w14:paraId="4822B879" w14:textId="77777777" w:rsidR="008248D0" w:rsidRDefault="008248D0" w:rsidP="00656E26">
            <w:pPr>
              <w:spacing w:before="60"/>
              <w:jc w:val="center"/>
              <w:rPr>
                <w:b/>
                <w:color w:val="404040" w:themeColor="text1" w:themeTint="BF"/>
              </w:rPr>
            </w:pPr>
            <w:r>
              <w:rPr>
                <w:b/>
                <w:color w:val="404040" w:themeColor="text1" w:themeTint="BF"/>
              </w:rPr>
              <w:t>VM4</w:t>
            </w:r>
          </w:p>
          <w:p w14:paraId="770BC4BC" w14:textId="77777777" w:rsidR="008248D0" w:rsidRPr="00421530" w:rsidRDefault="008248D0" w:rsidP="00656E26">
            <w:pPr>
              <w:spacing w:before="60"/>
              <w:jc w:val="center"/>
              <w:rPr>
                <w:b/>
                <w:color w:val="404040" w:themeColor="text1" w:themeTint="BF"/>
              </w:rPr>
            </w:pPr>
            <w:r>
              <w:object w:dxaOrig="1920" w:dyaOrig="375" w14:anchorId="2803805E">
                <v:shape id="_x0000_i1030" type="#_x0000_t75" style="width:96pt;height:19.2pt" o:ole="">
                  <v:imagedata r:id="rId28" o:title=""/>
                </v:shape>
                <o:OLEObject Type="Embed" ProgID="PBrush" ShapeID="_x0000_i1030" DrawAspect="Content" ObjectID="_1393162883" r:id="rId32"/>
              </w:object>
            </w:r>
          </w:p>
        </w:tc>
      </w:tr>
      <w:tr w:rsidR="008248D0" w14:paraId="18802791" w14:textId="77777777" w:rsidTr="00CE10CF">
        <w:trPr>
          <w:trHeight w:val="189"/>
        </w:trPr>
        <w:tc>
          <w:tcPr>
            <w:tcW w:w="2520" w:type="dxa"/>
            <w:vMerge/>
            <w:tcBorders>
              <w:right w:val="single" w:sz="12" w:space="0" w:color="FFFFFF" w:themeColor="background1"/>
            </w:tcBorders>
            <w:shd w:val="clear" w:color="auto" w:fill="D9D9D9" w:themeFill="background1" w:themeFillShade="D9"/>
            <w:vAlign w:val="center"/>
          </w:tcPr>
          <w:p w14:paraId="2E82A0F3" w14:textId="77777777" w:rsidR="008248D0" w:rsidRPr="00421530" w:rsidRDefault="008248D0" w:rsidP="00656E26">
            <w:pPr>
              <w:spacing w:before="60"/>
              <w:jc w:val="center"/>
              <w:rPr>
                <w:b/>
                <w:color w:val="404040" w:themeColor="text1" w:themeTint="BF"/>
              </w:rPr>
            </w:pPr>
          </w:p>
        </w:tc>
        <w:tc>
          <w:tcPr>
            <w:tcW w:w="2700" w:type="dxa"/>
            <w:gridSpan w:val="2"/>
            <w:tcBorders>
              <w:top w:val="dotted" w:sz="4" w:space="0" w:color="auto"/>
              <w:left w:val="single" w:sz="12" w:space="0" w:color="FFFFFF" w:themeColor="background1"/>
              <w:bottom w:val="dotted" w:sz="4" w:space="0" w:color="auto"/>
              <w:right w:val="single" w:sz="4" w:space="0" w:color="943634" w:themeColor="accent2" w:themeShade="BF"/>
            </w:tcBorders>
            <w:shd w:val="clear" w:color="auto" w:fill="D9D9D9" w:themeFill="background1" w:themeFillShade="D9"/>
            <w:vAlign w:val="center"/>
          </w:tcPr>
          <w:p w14:paraId="64654F5C" w14:textId="77777777" w:rsidR="008248D0" w:rsidRDefault="008248D0" w:rsidP="006458D6">
            <w:pPr>
              <w:spacing w:before="60"/>
              <w:jc w:val="center"/>
              <w:rPr>
                <w:b/>
                <w:color w:val="404040" w:themeColor="text1" w:themeTint="BF"/>
              </w:rPr>
            </w:pPr>
            <w:r>
              <w:rPr>
                <w:b/>
                <w:color w:val="404040" w:themeColor="text1" w:themeTint="BF"/>
              </w:rPr>
              <w:t>VM5</w:t>
            </w:r>
          </w:p>
          <w:p w14:paraId="1DA26865" w14:textId="77777777" w:rsidR="008248D0" w:rsidRDefault="008248D0" w:rsidP="006458D6">
            <w:pPr>
              <w:spacing w:before="60"/>
              <w:jc w:val="center"/>
              <w:rPr>
                <w:b/>
                <w:color w:val="404040" w:themeColor="text1" w:themeTint="BF"/>
              </w:rPr>
            </w:pPr>
            <w:r>
              <w:object w:dxaOrig="1920" w:dyaOrig="375" w14:anchorId="0400E89B">
                <v:shape id="_x0000_i1031" type="#_x0000_t75" style="width:96pt;height:19.2pt" o:ole="">
                  <v:imagedata r:id="rId28" o:title=""/>
                </v:shape>
                <o:OLEObject Type="Embed" ProgID="PBrush" ShapeID="_x0000_i1031" DrawAspect="Content" ObjectID="_1393162884" r:id="rId33"/>
              </w:object>
            </w:r>
          </w:p>
        </w:tc>
      </w:tr>
      <w:tr w:rsidR="008248D0" w14:paraId="3D5D387B" w14:textId="77777777" w:rsidTr="00CE10CF">
        <w:trPr>
          <w:trHeight w:val="189"/>
        </w:trPr>
        <w:tc>
          <w:tcPr>
            <w:tcW w:w="2520" w:type="dxa"/>
            <w:vMerge/>
            <w:tcBorders>
              <w:bottom w:val="single" w:sz="4" w:space="0" w:color="943634" w:themeColor="accent2" w:themeShade="BF"/>
              <w:right w:val="single" w:sz="12" w:space="0" w:color="FFFFFF" w:themeColor="background1"/>
            </w:tcBorders>
            <w:shd w:val="clear" w:color="auto" w:fill="D9D9D9" w:themeFill="background1" w:themeFillShade="D9"/>
            <w:vAlign w:val="center"/>
          </w:tcPr>
          <w:p w14:paraId="077AAE49" w14:textId="77777777" w:rsidR="008248D0" w:rsidRPr="00421530" w:rsidRDefault="008248D0" w:rsidP="00656E26">
            <w:pPr>
              <w:spacing w:before="60"/>
              <w:jc w:val="center"/>
              <w:rPr>
                <w:b/>
                <w:color w:val="404040" w:themeColor="text1" w:themeTint="BF"/>
              </w:rPr>
            </w:pPr>
          </w:p>
        </w:tc>
        <w:tc>
          <w:tcPr>
            <w:tcW w:w="2700" w:type="dxa"/>
            <w:gridSpan w:val="2"/>
            <w:tcBorders>
              <w:top w:val="dotted" w:sz="4" w:space="0" w:color="auto"/>
              <w:left w:val="single" w:sz="12" w:space="0" w:color="FFFFFF" w:themeColor="background1"/>
              <w:bottom w:val="single" w:sz="4" w:space="0" w:color="943634" w:themeColor="accent2" w:themeShade="BF"/>
              <w:right w:val="single" w:sz="4" w:space="0" w:color="943634" w:themeColor="accent2" w:themeShade="BF"/>
            </w:tcBorders>
            <w:shd w:val="clear" w:color="auto" w:fill="D9D9D9" w:themeFill="background1" w:themeFillShade="D9"/>
            <w:vAlign w:val="center"/>
          </w:tcPr>
          <w:p w14:paraId="087CDA60" w14:textId="77777777" w:rsidR="008248D0" w:rsidRDefault="008248D0" w:rsidP="006458D6">
            <w:pPr>
              <w:spacing w:before="60"/>
              <w:jc w:val="center"/>
              <w:rPr>
                <w:b/>
                <w:color w:val="404040" w:themeColor="text1" w:themeTint="BF"/>
              </w:rPr>
            </w:pPr>
            <w:r>
              <w:rPr>
                <w:b/>
                <w:color w:val="404040" w:themeColor="text1" w:themeTint="BF"/>
              </w:rPr>
              <w:t>VM6</w:t>
            </w:r>
          </w:p>
          <w:p w14:paraId="38D23CAA" w14:textId="77777777" w:rsidR="008248D0" w:rsidRDefault="008248D0" w:rsidP="006458D6">
            <w:pPr>
              <w:spacing w:before="60"/>
              <w:jc w:val="center"/>
              <w:rPr>
                <w:b/>
                <w:color w:val="404040" w:themeColor="text1" w:themeTint="BF"/>
              </w:rPr>
            </w:pPr>
            <w:r>
              <w:object w:dxaOrig="1920" w:dyaOrig="375" w14:anchorId="33F3ECAE">
                <v:shape id="_x0000_i1032" type="#_x0000_t75" style="width:96pt;height:19.2pt" o:ole="">
                  <v:imagedata r:id="rId28" o:title=""/>
                </v:shape>
                <o:OLEObject Type="Embed" ProgID="PBrush" ShapeID="_x0000_i1032" DrawAspect="Content" ObjectID="_1393162885" r:id="rId34"/>
              </w:object>
            </w:r>
          </w:p>
        </w:tc>
      </w:tr>
    </w:tbl>
    <w:p w14:paraId="0B0176E7" w14:textId="77777777" w:rsidR="00A93CAC" w:rsidRDefault="00A93CAC" w:rsidP="002F57AC">
      <w:pPr>
        <w:pStyle w:val="Heading1"/>
      </w:pPr>
    </w:p>
    <w:p w14:paraId="3C4CACD0" w14:textId="77777777" w:rsidR="00E340C4" w:rsidRPr="002F57AC" w:rsidRDefault="00E340C4" w:rsidP="002F57AC">
      <w:pPr>
        <w:pStyle w:val="Heading1"/>
      </w:pPr>
      <w:r w:rsidRPr="002F57AC">
        <w:lastRenderedPageBreak/>
        <w:t>Transition to the New Licensing Models</w:t>
      </w:r>
    </w:p>
    <w:p w14:paraId="648E7124" w14:textId="77777777" w:rsidR="000775F1" w:rsidRPr="00B1420E" w:rsidRDefault="000775F1" w:rsidP="00C05FD3">
      <w:pPr>
        <w:pStyle w:val="Body"/>
        <w:rPr>
          <w:b/>
        </w:rPr>
      </w:pPr>
      <w:r w:rsidRPr="00B1420E">
        <w:t xml:space="preserve">In order to facilitate a smooth transition to the new </w:t>
      </w:r>
      <w:r w:rsidR="00B50D77">
        <w:t>editions</w:t>
      </w:r>
      <w:r w:rsidRPr="00B1420E">
        <w:t xml:space="preserve"> and licensing, Microsoft is offering several options.  These are designed to help enable customers </w:t>
      </w:r>
      <w:r w:rsidR="00812663">
        <w:t xml:space="preserve">to </w:t>
      </w:r>
      <w:r w:rsidRPr="00B1420E">
        <w:t>plan for the future while protecting their current investments.</w:t>
      </w:r>
    </w:p>
    <w:p w14:paraId="47975A27" w14:textId="77777777" w:rsidR="000775F1" w:rsidRPr="00B1420E" w:rsidRDefault="000775F1" w:rsidP="00B1420E"/>
    <w:p w14:paraId="146A6F79" w14:textId="77777777" w:rsidR="009A6237" w:rsidRPr="00694E11" w:rsidRDefault="00E340C4" w:rsidP="00C05FD3">
      <w:pPr>
        <w:pStyle w:val="Heading3"/>
        <w:rPr>
          <w:u w:val="single"/>
        </w:rPr>
      </w:pPr>
      <w:r w:rsidRPr="00694E11">
        <w:rPr>
          <w:u w:val="single"/>
        </w:rPr>
        <w:t>E</w:t>
      </w:r>
      <w:r w:rsidR="009A6237" w:rsidRPr="00694E11">
        <w:rPr>
          <w:u w:val="single"/>
        </w:rPr>
        <w:t xml:space="preserve">nterprise Edition </w:t>
      </w:r>
      <w:r w:rsidR="000D233A" w:rsidRPr="00882233">
        <w:rPr>
          <w:i/>
          <w:u w:val="single"/>
        </w:rPr>
        <w:t>Server + CAL</w:t>
      </w:r>
      <w:r w:rsidR="00882233">
        <w:rPr>
          <w:u w:val="single"/>
        </w:rPr>
        <w:t xml:space="preserve"> Licensing</w:t>
      </w:r>
    </w:p>
    <w:p w14:paraId="52433E9C" w14:textId="77777777" w:rsidR="00C10690" w:rsidRDefault="00B701AE" w:rsidP="00C05FD3">
      <w:pPr>
        <w:pStyle w:val="VLBodyBullet"/>
      </w:pPr>
      <w:r w:rsidRPr="00C05FD3">
        <w:rPr>
          <w:b/>
        </w:rPr>
        <w:t>N</w:t>
      </w:r>
      <w:r w:rsidR="009A6237" w:rsidRPr="00C05FD3">
        <w:rPr>
          <w:b/>
        </w:rPr>
        <w:t xml:space="preserve">ew </w:t>
      </w:r>
      <w:r w:rsidR="003B4A5B">
        <w:rPr>
          <w:b/>
        </w:rPr>
        <w:t>s</w:t>
      </w:r>
      <w:r w:rsidR="004B0730" w:rsidRPr="00C05FD3">
        <w:rPr>
          <w:b/>
        </w:rPr>
        <w:t xml:space="preserve">erver licenses for </w:t>
      </w:r>
      <w:r w:rsidR="000D233A">
        <w:rPr>
          <w:b/>
        </w:rPr>
        <w:t>SQL Server Enterprise Edition</w:t>
      </w:r>
      <w:r w:rsidR="009A6237" w:rsidRPr="00C05FD3">
        <w:rPr>
          <w:b/>
        </w:rPr>
        <w:t xml:space="preserve"> </w:t>
      </w:r>
      <w:r w:rsidR="000D233A">
        <w:rPr>
          <w:b/>
        </w:rPr>
        <w:t xml:space="preserve">in the Server + Cal model </w:t>
      </w:r>
      <w:r w:rsidR="009A6237" w:rsidRPr="00C05FD3">
        <w:rPr>
          <w:b/>
        </w:rPr>
        <w:t xml:space="preserve">will </w:t>
      </w:r>
      <w:r w:rsidRPr="00C05FD3">
        <w:rPr>
          <w:b/>
        </w:rPr>
        <w:t xml:space="preserve">only be </w:t>
      </w:r>
      <w:r w:rsidR="009A6237" w:rsidRPr="00C05FD3">
        <w:rPr>
          <w:b/>
        </w:rPr>
        <w:t>available</w:t>
      </w:r>
      <w:r w:rsidRPr="00C05FD3">
        <w:rPr>
          <w:b/>
        </w:rPr>
        <w:t xml:space="preserve"> </w:t>
      </w:r>
      <w:r w:rsidR="004B0730" w:rsidRPr="00C05FD3">
        <w:rPr>
          <w:b/>
        </w:rPr>
        <w:t>for purchase through</w:t>
      </w:r>
      <w:r w:rsidR="00601B0C">
        <w:rPr>
          <w:b/>
        </w:rPr>
        <w:t xml:space="preserve"> </w:t>
      </w:r>
      <w:r w:rsidR="004C04E0">
        <w:rPr>
          <w:b/>
        </w:rPr>
        <w:t>June 30</w:t>
      </w:r>
      <w:r w:rsidR="004C04E0" w:rsidRPr="004C04E0">
        <w:rPr>
          <w:b/>
          <w:vertAlign w:val="superscript"/>
        </w:rPr>
        <w:t>th</w:t>
      </w:r>
      <w:r w:rsidR="004C04E0">
        <w:rPr>
          <w:b/>
        </w:rPr>
        <w:t xml:space="preserve">, </w:t>
      </w:r>
      <w:r w:rsidR="00601B0C">
        <w:rPr>
          <w:b/>
        </w:rPr>
        <w:t>2012</w:t>
      </w:r>
      <w:r w:rsidR="000D233A">
        <w:rPr>
          <w:b/>
        </w:rPr>
        <w:t>, after which they will no longer be available for purchase.</w:t>
      </w:r>
      <w:r>
        <w:t xml:space="preserve">  </w:t>
      </w:r>
      <w:r w:rsidR="000B3484" w:rsidRPr="00C10690">
        <w:t xml:space="preserve">EA/EAP customers </w:t>
      </w:r>
      <w:r w:rsidR="000D233A">
        <w:t xml:space="preserve">that buy SQL Enterprise Edition Servers </w:t>
      </w:r>
      <w:r w:rsidR="004B0730">
        <w:t>will</w:t>
      </w:r>
      <w:r w:rsidR="000B3484" w:rsidRPr="00C10690">
        <w:t xml:space="preserve"> have until </w:t>
      </w:r>
      <w:r w:rsidR="004B0730">
        <w:t>their nex</w:t>
      </w:r>
      <w:r w:rsidR="00601B0C">
        <w:t xml:space="preserve">t EA/EAP renewal after </w:t>
      </w:r>
      <w:r w:rsidR="004C04E0">
        <w:t>June 30</w:t>
      </w:r>
      <w:r w:rsidR="004C04E0" w:rsidRPr="004C04E0">
        <w:rPr>
          <w:vertAlign w:val="superscript"/>
        </w:rPr>
        <w:t>th</w:t>
      </w:r>
      <w:r w:rsidR="004C04E0">
        <w:t>, 2012</w:t>
      </w:r>
      <w:r w:rsidR="000B3484" w:rsidRPr="00C10690">
        <w:t xml:space="preserve"> to </w:t>
      </w:r>
      <w:r w:rsidR="004B0730">
        <w:t xml:space="preserve">purchase additional </w:t>
      </w:r>
      <w:r w:rsidR="009D6D9A">
        <w:t>s</w:t>
      </w:r>
      <w:r w:rsidR="004B0730">
        <w:t xml:space="preserve">erver licenses </w:t>
      </w:r>
      <w:r w:rsidR="00BF02D2">
        <w:t>to complete currently planned projects</w:t>
      </w:r>
      <w:r w:rsidR="000B3484" w:rsidRPr="00C10690">
        <w:t xml:space="preserve">. </w:t>
      </w:r>
      <w:r w:rsidR="004B0730">
        <w:t xml:space="preserve">After that, all new </w:t>
      </w:r>
      <w:r w:rsidR="000D233A">
        <w:t>SQL Server Enterprise Edition deployments</w:t>
      </w:r>
      <w:r w:rsidR="004B0730">
        <w:t xml:space="preserve"> must be purchased per core.</w:t>
      </w:r>
    </w:p>
    <w:p w14:paraId="78C5D5B6" w14:textId="77777777" w:rsidR="004B0730" w:rsidRDefault="004B0730" w:rsidP="00594520">
      <w:pPr>
        <w:pStyle w:val="VLBodyBullet"/>
      </w:pPr>
      <w:r>
        <w:t>All</w:t>
      </w:r>
      <w:r w:rsidR="009A6237" w:rsidRPr="00C10690">
        <w:t xml:space="preserve"> existing </w:t>
      </w:r>
      <w:r w:rsidR="000D233A">
        <w:t>SQL Server Enterprise Edition</w:t>
      </w:r>
      <w:r w:rsidR="009A6237" w:rsidRPr="00C10690">
        <w:t xml:space="preserve"> </w:t>
      </w:r>
      <w:r w:rsidR="00ED69C1">
        <w:t>l</w:t>
      </w:r>
      <w:r w:rsidR="009A6237" w:rsidRPr="00C10690">
        <w:t>icenses</w:t>
      </w:r>
      <w:r w:rsidR="00ED69C1">
        <w:t xml:space="preserve"> under the Server</w:t>
      </w:r>
      <w:r>
        <w:t xml:space="preserve"> </w:t>
      </w:r>
      <w:r w:rsidR="00882233">
        <w:t>+</w:t>
      </w:r>
      <w:r>
        <w:t xml:space="preserve"> </w:t>
      </w:r>
      <w:r w:rsidR="00ED69C1">
        <w:t xml:space="preserve">CAL model </w:t>
      </w:r>
      <w:r w:rsidR="00ED69C1" w:rsidRPr="00C10690">
        <w:t>with</w:t>
      </w:r>
      <w:r w:rsidR="00812663">
        <w:t xml:space="preserve"> Software Assurance</w:t>
      </w:r>
      <w:r w:rsidR="009A6237" w:rsidRPr="00C10690">
        <w:t xml:space="preserve"> </w:t>
      </w:r>
      <w:r w:rsidR="004037B4">
        <w:t xml:space="preserve">current when SQL Server 2012 launches </w:t>
      </w:r>
      <w:r w:rsidR="009A6237" w:rsidRPr="00C10690">
        <w:t xml:space="preserve">can be upgraded to SQL Server 2012 </w:t>
      </w:r>
      <w:r>
        <w:t xml:space="preserve">at no additional cost, </w:t>
      </w:r>
      <w:r w:rsidR="009A6237" w:rsidRPr="00C10690">
        <w:t xml:space="preserve">and SA can be maintained </w:t>
      </w:r>
      <w:r w:rsidR="004037B4">
        <w:t xml:space="preserve">(in the server + cal model) </w:t>
      </w:r>
      <w:r w:rsidR="009A6237" w:rsidRPr="00C10690">
        <w:t>to provide access to future software updates.</w:t>
      </w:r>
      <w:r w:rsidR="001244B8" w:rsidRPr="00C10690">
        <w:t xml:space="preserve"> </w:t>
      </w:r>
      <w:r w:rsidR="000D233A">
        <w:t xml:space="preserve">  </w:t>
      </w:r>
      <w:r w:rsidR="000D233A" w:rsidRPr="00C33D98">
        <w:rPr>
          <w:b/>
        </w:rPr>
        <w:t>These Legacy Enterprise Edition Server</w:t>
      </w:r>
      <w:r w:rsidR="00862C01">
        <w:rPr>
          <w:b/>
        </w:rPr>
        <w:t>s</w:t>
      </w:r>
      <w:r w:rsidR="000D233A" w:rsidRPr="00C33D98">
        <w:rPr>
          <w:b/>
        </w:rPr>
        <w:t xml:space="preserve"> remain licensed under the Server + CAL model and require the appropriate version of the SQL Server CAL</w:t>
      </w:r>
      <w:r w:rsidR="00862C01">
        <w:rPr>
          <w:b/>
        </w:rPr>
        <w:t xml:space="preserve"> for users or devices.</w:t>
      </w:r>
    </w:p>
    <w:p w14:paraId="58A4AEA9" w14:textId="77777777" w:rsidR="00694E11" w:rsidRPr="00BF02D2" w:rsidRDefault="000D233A" w:rsidP="00694E11">
      <w:pPr>
        <w:pStyle w:val="VLBodyBullet"/>
      </w:pPr>
      <w:r>
        <w:t xml:space="preserve">Legacy </w:t>
      </w:r>
      <w:r w:rsidR="00834D56" w:rsidRPr="00834D56">
        <w:t>SQL</w:t>
      </w:r>
      <w:r>
        <w:t xml:space="preserve"> Server 2012 Enterprise Edition Server deployments </w:t>
      </w:r>
      <w:r w:rsidR="00834D56" w:rsidRPr="00834D56">
        <w:t xml:space="preserve">licensed in the server + CAL </w:t>
      </w:r>
      <w:r w:rsidR="00694E11" w:rsidRPr="00834D56">
        <w:t>model</w:t>
      </w:r>
      <w:r w:rsidR="00834D56" w:rsidRPr="00834D56">
        <w:t xml:space="preserve"> will be subject to a </w:t>
      </w:r>
      <w:r w:rsidR="00834D56" w:rsidRPr="00834D56">
        <w:rPr>
          <w:b/>
        </w:rPr>
        <w:t>20 core per server license maximum</w:t>
      </w:r>
      <w:r w:rsidR="00834D56" w:rsidRPr="00834D56">
        <w:t xml:space="preserve">.  </w:t>
      </w:r>
      <w:r w:rsidR="00694E11" w:rsidRPr="00834D56">
        <w:t xml:space="preserve">This core maximum applies both to new server licenses and to prior version server licenses upgraded to 2012 with SA.  </w:t>
      </w:r>
      <w:r w:rsidR="00694E11" w:rsidRPr="00B1420E">
        <w:t xml:space="preserve">If you purchased SQL Server 2008 R2 Enterprise Edition in the </w:t>
      </w:r>
      <w:r w:rsidR="00694E11">
        <w:t>Server + CAL</w:t>
      </w:r>
      <w:r w:rsidR="00694E11" w:rsidRPr="00B1420E">
        <w:t xml:space="preserve"> mo</w:t>
      </w:r>
      <w:r w:rsidR="00694E11">
        <w:t>del with Software Assurance and</w:t>
      </w:r>
      <w:r w:rsidR="00694E11" w:rsidRPr="00B1420E">
        <w:t xml:space="preserve"> at the launch of SQL Server 2012 are running on a server w</w:t>
      </w:r>
      <w:r w:rsidR="00694E11">
        <w:t xml:space="preserve">ith &gt; 20 physical cores, </w:t>
      </w:r>
      <w:r w:rsidR="00694E11" w:rsidRPr="00B1420E">
        <w:t xml:space="preserve">contact your </w:t>
      </w:r>
      <w:r w:rsidR="00694E11" w:rsidRPr="00B1420E">
        <w:lastRenderedPageBreak/>
        <w:t xml:space="preserve">Microsoft representative </w:t>
      </w:r>
      <w:r w:rsidR="00694E11">
        <w:t>for help</w:t>
      </w:r>
      <w:r w:rsidR="00694E11" w:rsidRPr="00B1420E">
        <w:t xml:space="preserve"> transitioning to the new licensing model.</w:t>
      </w:r>
    </w:p>
    <w:p w14:paraId="40CD79DD" w14:textId="77777777" w:rsidR="000D233A" w:rsidRDefault="00694E11" w:rsidP="00594520">
      <w:pPr>
        <w:pStyle w:val="VLBodyBullet"/>
      </w:pPr>
      <w:r>
        <w:t>Legacy SQL Server 2012 Enterprise Edition Server licenses</w:t>
      </w:r>
      <w:r w:rsidR="000D233A">
        <w:t xml:space="preserve"> are still considered licensed under the Server + CAL model but have the new core limit to allow customers to upgrade their existing deployments and have some </w:t>
      </w:r>
      <w:r>
        <w:t>near term deployment options to finish currently planned projects under the Server + CAL model for the SQL Server Enterprise Edition.</w:t>
      </w:r>
    </w:p>
    <w:p w14:paraId="25C8DF6A" w14:textId="77777777" w:rsidR="00594520" w:rsidRPr="00594520" w:rsidRDefault="00261E68" w:rsidP="00F23CFE">
      <w:pPr>
        <w:pStyle w:val="VLBodyBullet"/>
        <w:rPr>
          <w:b/>
        </w:rPr>
      </w:pPr>
      <w:r w:rsidRPr="00BF02D2">
        <w:t>M</w:t>
      </w:r>
      <w:r w:rsidR="000B3484" w:rsidRPr="00BF02D2">
        <w:t>oving forward</w:t>
      </w:r>
      <w:r w:rsidR="00BF02D2" w:rsidRPr="00BF02D2">
        <w:t>,</w:t>
      </w:r>
      <w:r w:rsidR="000B3484" w:rsidRPr="00BF02D2">
        <w:t xml:space="preserve"> custom</w:t>
      </w:r>
      <w:r w:rsidR="00BF02D2">
        <w:t xml:space="preserve">ers who would have purchased new EE </w:t>
      </w:r>
      <w:r w:rsidR="009D6D9A">
        <w:t>s</w:t>
      </w:r>
      <w:r w:rsidR="00BF02D2">
        <w:t xml:space="preserve">erver licenses can: </w:t>
      </w:r>
      <w:r w:rsidR="00812663">
        <w:t xml:space="preserve">purchase SQL BI </w:t>
      </w:r>
      <w:r w:rsidR="009D6D9A">
        <w:t>s</w:t>
      </w:r>
      <w:r w:rsidR="00812663">
        <w:t>erver licenses</w:t>
      </w:r>
      <w:r w:rsidR="00BF02D2">
        <w:t xml:space="preserve"> for business intelligence, </w:t>
      </w:r>
      <w:r w:rsidR="00812663">
        <w:t>purchase</w:t>
      </w:r>
      <w:r w:rsidR="00BF02D2">
        <w:t xml:space="preserve"> SQL EE per core for high-scale database or data warehouse, or maintain l</w:t>
      </w:r>
      <w:bookmarkStart w:id="0" w:name="_GoBack"/>
      <w:bookmarkEnd w:id="0"/>
      <w:r w:rsidR="00BF02D2">
        <w:t xml:space="preserve">egacy EE server </w:t>
      </w:r>
      <w:r w:rsidR="004037B4">
        <w:t>licenses for existing projects requiring 20 cores</w:t>
      </w:r>
      <w:r w:rsidR="00C33D98">
        <w:t xml:space="preserve"> or less</w:t>
      </w:r>
      <w:r w:rsidR="004037B4">
        <w:t>.</w:t>
      </w:r>
    </w:p>
    <w:p w14:paraId="262FADF7" w14:textId="77777777" w:rsidR="00882233" w:rsidRDefault="00882233" w:rsidP="002F57AC">
      <w:pPr>
        <w:pStyle w:val="Heading3"/>
        <w:spacing w:before="120"/>
        <w:rPr>
          <w:u w:val="single"/>
        </w:rPr>
      </w:pPr>
    </w:p>
    <w:p w14:paraId="0E31A903" w14:textId="77777777" w:rsidR="00ED69C1" w:rsidRPr="00BD5241" w:rsidRDefault="004037B4" w:rsidP="002F57AC">
      <w:pPr>
        <w:pStyle w:val="Heading3"/>
        <w:spacing w:before="120"/>
        <w:rPr>
          <w:b/>
          <w:u w:val="single"/>
        </w:rPr>
      </w:pPr>
      <w:r w:rsidRPr="00BD5241">
        <w:rPr>
          <w:u w:val="single"/>
        </w:rPr>
        <w:t>SQL Server</w:t>
      </w:r>
      <w:r w:rsidR="00694E11" w:rsidRPr="00BD5241">
        <w:rPr>
          <w:u w:val="single"/>
        </w:rPr>
        <w:t xml:space="preserve"> Processor </w:t>
      </w:r>
      <w:r w:rsidRPr="00BD5241">
        <w:rPr>
          <w:u w:val="single"/>
        </w:rPr>
        <w:t xml:space="preserve">licenses under SA moving </w:t>
      </w:r>
      <w:r w:rsidR="009A6237" w:rsidRPr="00BD5241">
        <w:rPr>
          <w:u w:val="single"/>
        </w:rPr>
        <w:t>to Core</w:t>
      </w:r>
      <w:r w:rsidR="00011D70" w:rsidRPr="00BD5241">
        <w:rPr>
          <w:u w:val="single"/>
        </w:rPr>
        <w:t>-based</w:t>
      </w:r>
      <w:r w:rsidR="009A6237" w:rsidRPr="00BD5241">
        <w:rPr>
          <w:u w:val="single"/>
        </w:rPr>
        <w:t xml:space="preserve"> Licensing</w:t>
      </w:r>
    </w:p>
    <w:p w14:paraId="222D881F" w14:textId="7D8A002B" w:rsidR="00ED69C1" w:rsidRDefault="009A6237" w:rsidP="00594520">
      <w:pPr>
        <w:pStyle w:val="VLBodyBullet"/>
      </w:pPr>
      <w:r w:rsidRPr="00ED69C1">
        <w:t xml:space="preserve">Customers with processor licenses under </w:t>
      </w:r>
      <w:r w:rsidR="00812663">
        <w:t>SA</w:t>
      </w:r>
      <w:r w:rsidRPr="00ED69C1">
        <w:t xml:space="preserve"> </w:t>
      </w:r>
      <w:r w:rsidR="006B470D">
        <w:t xml:space="preserve">will receive rights to </w:t>
      </w:r>
      <w:r w:rsidRPr="00ED69C1">
        <w:t>upgrade to SQL Server 2012 at no additional cost.</w:t>
      </w:r>
      <w:r w:rsidR="001244B8" w:rsidRPr="00ED69C1">
        <w:t xml:space="preserve"> </w:t>
      </w:r>
      <w:r w:rsidR="006B470D">
        <w:t xml:space="preserve"> </w:t>
      </w:r>
      <w:r w:rsidRPr="00ED69C1">
        <w:t xml:space="preserve">At the </w:t>
      </w:r>
      <w:r w:rsidR="006B470D">
        <w:t>subsequent renewal</w:t>
      </w:r>
      <w:r w:rsidRPr="00ED69C1">
        <w:t xml:space="preserve">, </w:t>
      </w:r>
      <w:r w:rsidR="006B470D">
        <w:t xml:space="preserve">the customer will have the opportunity to renew into </w:t>
      </w:r>
      <w:r w:rsidRPr="00ED69C1">
        <w:t xml:space="preserve">core licenses. </w:t>
      </w:r>
    </w:p>
    <w:p w14:paraId="47CBD14C" w14:textId="1A889AE2" w:rsidR="00ED69C1" w:rsidRDefault="009A6237" w:rsidP="00594520">
      <w:pPr>
        <w:pStyle w:val="VLBodyBullet"/>
      </w:pPr>
      <w:r w:rsidRPr="00ED69C1">
        <w:t xml:space="preserve">SQL Enterprise and Standard processor licenses </w:t>
      </w:r>
      <w:r w:rsidR="00441514">
        <w:t xml:space="preserve">under SA </w:t>
      </w:r>
      <w:r w:rsidR="006B470D">
        <w:t>are valued at</w:t>
      </w:r>
      <w:r w:rsidR="00441514">
        <w:t xml:space="preserve"> a minimum of 4 core licenses</w:t>
      </w:r>
      <w:r w:rsidRPr="00ED69C1">
        <w:t xml:space="preserve"> per processor or the actual number of cores in use.</w:t>
      </w:r>
      <w:r w:rsidR="001244B8" w:rsidRPr="00ED69C1">
        <w:t xml:space="preserve"> </w:t>
      </w:r>
      <w:r w:rsidRPr="00ED69C1">
        <w:t xml:space="preserve">SQL Server Datacenter processor licenses </w:t>
      </w:r>
      <w:r w:rsidR="006B470D">
        <w:t>are valued at</w:t>
      </w:r>
      <w:r w:rsidRPr="00ED69C1">
        <w:t xml:space="preserve"> a minimum of 8 </w:t>
      </w:r>
      <w:r w:rsidR="00EC7B62">
        <w:t xml:space="preserve">EE </w:t>
      </w:r>
      <w:r w:rsidRPr="00ED69C1">
        <w:t>core</w:t>
      </w:r>
      <w:r w:rsidR="00441514">
        <w:t xml:space="preserve"> licenses</w:t>
      </w:r>
      <w:r w:rsidRPr="00ED69C1">
        <w:t xml:space="preserve"> per processor or the actual </w:t>
      </w:r>
      <w:r w:rsidR="00441514">
        <w:t xml:space="preserve">number of </w:t>
      </w:r>
      <w:r w:rsidRPr="00ED69C1">
        <w:t>cores in use.</w:t>
      </w:r>
      <w:r w:rsidR="001244B8" w:rsidRPr="00ED69C1">
        <w:t xml:space="preserve"> </w:t>
      </w:r>
    </w:p>
    <w:p w14:paraId="712927C0" w14:textId="6366EDDB" w:rsidR="00ED69C1" w:rsidRPr="00BF02D2" w:rsidRDefault="000212E0" w:rsidP="00594520">
      <w:pPr>
        <w:pStyle w:val="VLBodyBullet"/>
      </w:pPr>
      <w:r w:rsidRPr="00BF02D2">
        <w:t xml:space="preserve">At the end of the </w:t>
      </w:r>
      <w:r w:rsidR="00BF02D2" w:rsidRPr="00BF02D2">
        <w:t xml:space="preserve">current </w:t>
      </w:r>
      <w:r w:rsidRPr="00BF02D2">
        <w:t>agreement term, customers should do a self-inventory</w:t>
      </w:r>
      <w:r w:rsidR="004037B4">
        <w:t xml:space="preserve"> of systems currently running SQL Server</w:t>
      </w:r>
      <w:r w:rsidRPr="00BF02D2">
        <w:t xml:space="preserve">, documenting the number of cores </w:t>
      </w:r>
      <w:r w:rsidR="002977A2">
        <w:t>in</w:t>
      </w:r>
      <w:r w:rsidRPr="00BF02D2">
        <w:t xml:space="preserve"> each processor in use with a SQL Server</w:t>
      </w:r>
      <w:r w:rsidR="00BF02D2" w:rsidRPr="00BF02D2">
        <w:t xml:space="preserve"> processor</w:t>
      </w:r>
      <w:r w:rsidRPr="00BF02D2">
        <w:t xml:space="preserve"> license covered with Software Assurance. </w:t>
      </w:r>
      <w:r w:rsidR="00BF02D2">
        <w:t xml:space="preserve"> </w:t>
      </w:r>
      <w:r w:rsidRPr="00BF02D2">
        <w:t xml:space="preserve">This will enable customers to receive </w:t>
      </w:r>
      <w:r w:rsidR="00B9789B" w:rsidRPr="00BF02D2">
        <w:t xml:space="preserve">the appropriate SQL Server 2012 </w:t>
      </w:r>
      <w:r w:rsidR="006B470D">
        <w:t xml:space="preserve">use rights </w:t>
      </w:r>
      <w:r w:rsidR="006B470D">
        <w:lastRenderedPageBreak/>
        <w:t>moving forward</w:t>
      </w:r>
      <w:r w:rsidR="00A93CAC">
        <w:t xml:space="preserve"> and will determine</w:t>
      </w:r>
      <w:r w:rsidR="006B470D">
        <w:t xml:space="preserve"> the core license exchange eligibility at renewal</w:t>
      </w:r>
      <w:r w:rsidRPr="00BF02D2">
        <w:t>.</w:t>
      </w:r>
      <w:r w:rsidR="001244B8" w:rsidRPr="00BF02D2">
        <w:t xml:space="preserve"> </w:t>
      </w:r>
    </w:p>
    <w:p w14:paraId="52E6D41B" w14:textId="77777777" w:rsidR="00ED69C1" w:rsidRDefault="000212E0" w:rsidP="00594520">
      <w:pPr>
        <w:pStyle w:val="VLBodyBullet"/>
      </w:pPr>
      <w:r w:rsidRPr="00ED69C1">
        <w:t xml:space="preserve">Customers </w:t>
      </w:r>
      <w:r w:rsidR="001E70D3">
        <w:t xml:space="preserve">should </w:t>
      </w:r>
      <w:r w:rsidRPr="00ED69C1">
        <w:t xml:space="preserve">do this self-inventory using </w:t>
      </w:r>
      <w:r w:rsidR="002977A2">
        <w:t xml:space="preserve">the </w:t>
      </w:r>
      <w:r w:rsidRPr="00ED69C1">
        <w:t>Microsoft Assessment and Planning</w:t>
      </w:r>
      <w:r w:rsidR="001244B8" w:rsidRPr="00ED69C1">
        <w:t xml:space="preserve"> </w:t>
      </w:r>
      <w:r w:rsidR="001E70D3">
        <w:t xml:space="preserve">(MAP) </w:t>
      </w:r>
      <w:r w:rsidRPr="00ED69C1">
        <w:t xml:space="preserve">Toolkit or </w:t>
      </w:r>
      <w:r w:rsidR="00B9789B" w:rsidRPr="00ED69C1">
        <w:t>other inventory tools and processes to accurately archive a time/date stamped inventory of hardware tied to SQL Server installations</w:t>
      </w:r>
      <w:r w:rsidRPr="00ED69C1">
        <w:t xml:space="preserve">. </w:t>
      </w:r>
    </w:p>
    <w:p w14:paraId="7C63E440" w14:textId="586C14AA" w:rsidR="009A6237" w:rsidRDefault="000212E0" w:rsidP="00594520">
      <w:pPr>
        <w:pStyle w:val="VLBodyBullet"/>
      </w:pPr>
      <w:r w:rsidRPr="00ED69C1">
        <w:t xml:space="preserve">If customers do not perform the self-inventory, they will </w:t>
      </w:r>
      <w:r w:rsidR="001E70D3">
        <w:t xml:space="preserve">receive </w:t>
      </w:r>
      <w:r w:rsidR="006B470D">
        <w:t xml:space="preserve">a value of </w:t>
      </w:r>
      <w:r w:rsidR="001E70D3">
        <w:t>4 core licenses for each</w:t>
      </w:r>
      <w:r w:rsidRPr="00ED69C1">
        <w:t xml:space="preserve"> </w:t>
      </w:r>
      <w:r w:rsidR="00B71B8F" w:rsidRPr="00ED69C1">
        <w:t xml:space="preserve">Standard and </w:t>
      </w:r>
      <w:r w:rsidRPr="00ED69C1">
        <w:t xml:space="preserve">Enterprise Edition processor </w:t>
      </w:r>
      <w:r w:rsidR="001E70D3">
        <w:t>and 8 EE core licenses</w:t>
      </w:r>
      <w:r w:rsidR="00821302" w:rsidRPr="00ED69C1">
        <w:t xml:space="preserve"> </w:t>
      </w:r>
      <w:r w:rsidR="00EC7B62">
        <w:t xml:space="preserve">per </w:t>
      </w:r>
      <w:r w:rsidR="00821302" w:rsidRPr="00ED69C1">
        <w:t>Datacenter Edition processor.</w:t>
      </w:r>
    </w:p>
    <w:tbl>
      <w:tblPr>
        <w:tblStyle w:val="TableGrid"/>
        <w:tblW w:w="0" w:type="auto"/>
        <w:tblInd w:w="108"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none" w:sz="0" w:space="0" w:color="auto"/>
          <w:insideV w:val="none" w:sz="0" w:space="0" w:color="auto"/>
        </w:tblBorders>
        <w:tblCellMar>
          <w:top w:w="14" w:type="dxa"/>
          <w:left w:w="29" w:type="dxa"/>
          <w:bottom w:w="14" w:type="dxa"/>
          <w:right w:w="29" w:type="dxa"/>
        </w:tblCellMar>
        <w:tblLook w:val="04A0" w:firstRow="1" w:lastRow="0" w:firstColumn="1" w:lastColumn="0" w:noHBand="0" w:noVBand="1"/>
      </w:tblPr>
      <w:tblGrid>
        <w:gridCol w:w="1721"/>
        <w:gridCol w:w="3492"/>
      </w:tblGrid>
      <w:tr w:rsidR="00594520" w14:paraId="410BACFC" w14:textId="77777777" w:rsidTr="006B470D">
        <w:tc>
          <w:tcPr>
            <w:tcW w:w="1721" w:type="dxa"/>
            <w:tcBorders>
              <w:bottom w:val="nil"/>
            </w:tcBorders>
            <w:vAlign w:val="center"/>
          </w:tcPr>
          <w:p w14:paraId="1F38604A" w14:textId="77777777" w:rsidR="00594520" w:rsidRPr="0058557C" w:rsidRDefault="00594520" w:rsidP="00EE7C45">
            <w:pPr>
              <w:jc w:val="center"/>
              <w:rPr>
                <w:color w:val="404040" w:themeColor="text1" w:themeTint="BF"/>
              </w:rPr>
            </w:pPr>
          </w:p>
        </w:tc>
        <w:tc>
          <w:tcPr>
            <w:tcW w:w="3492" w:type="dxa"/>
            <w:tcBorders>
              <w:bottom w:val="nil"/>
            </w:tcBorders>
            <w:vAlign w:val="center"/>
          </w:tcPr>
          <w:p w14:paraId="50D2C63B" w14:textId="77777777" w:rsidR="00594520" w:rsidRPr="0058557C" w:rsidRDefault="00594520" w:rsidP="00EE7C45">
            <w:pPr>
              <w:spacing w:before="120"/>
              <w:jc w:val="center"/>
              <w:rPr>
                <w:color w:val="404040" w:themeColor="text1" w:themeTint="BF"/>
              </w:rPr>
            </w:pPr>
            <w:r w:rsidRPr="0058557C">
              <w:rPr>
                <w:noProof/>
                <w:color w:val="404040" w:themeColor="text1" w:themeTint="BF"/>
              </w:rPr>
              <w:drawing>
                <wp:inline distT="0" distB="0" distL="0" distR="0" wp14:anchorId="04508762" wp14:editId="04508763">
                  <wp:extent cx="2136942" cy="304986"/>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136942" cy="304986"/>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594520" w14:paraId="66C3A4B0" w14:textId="77777777" w:rsidTr="006B470D">
        <w:trPr>
          <w:trHeight w:val="677"/>
        </w:trPr>
        <w:tc>
          <w:tcPr>
            <w:tcW w:w="1721" w:type="dxa"/>
            <w:tcBorders>
              <w:top w:val="nil"/>
              <w:bottom w:val="dotted" w:sz="4" w:space="0" w:color="BFBFBF" w:themeColor="background1" w:themeShade="BF"/>
            </w:tcBorders>
            <w:vAlign w:val="center"/>
          </w:tcPr>
          <w:p w14:paraId="77F81A6F" w14:textId="77777777" w:rsidR="00594520" w:rsidRPr="0058557C" w:rsidRDefault="00594520" w:rsidP="002C0B2D">
            <w:pPr>
              <w:autoSpaceDE w:val="0"/>
              <w:autoSpaceDN w:val="0"/>
              <w:adjustRightInd w:val="0"/>
              <w:spacing w:after="0" w:line="240" w:lineRule="auto"/>
              <w:rPr>
                <w:rFonts w:cstheme="minorHAnsi"/>
                <w:b/>
                <w:bCs/>
                <w:color w:val="404040" w:themeColor="text1" w:themeTint="BF"/>
                <w:sz w:val="16"/>
                <w:szCs w:val="20"/>
              </w:rPr>
            </w:pPr>
            <w:r w:rsidRPr="0058557C">
              <w:rPr>
                <w:rFonts w:cstheme="minorHAnsi"/>
                <w:b/>
                <w:bCs/>
                <w:color w:val="404040" w:themeColor="text1" w:themeTint="BF"/>
                <w:sz w:val="16"/>
                <w:szCs w:val="20"/>
              </w:rPr>
              <w:t>PHYSICAL</w:t>
            </w:r>
          </w:p>
          <w:p w14:paraId="041AFAD5" w14:textId="77777777" w:rsidR="00594520" w:rsidRPr="0058557C" w:rsidRDefault="00594520" w:rsidP="002C0B2D">
            <w:pPr>
              <w:autoSpaceDE w:val="0"/>
              <w:autoSpaceDN w:val="0"/>
              <w:adjustRightInd w:val="0"/>
              <w:spacing w:after="0" w:line="240" w:lineRule="auto"/>
              <w:rPr>
                <w:rFonts w:cstheme="minorHAnsi"/>
                <w:b/>
                <w:bCs/>
                <w:color w:val="404040" w:themeColor="text1" w:themeTint="BF"/>
                <w:sz w:val="16"/>
                <w:szCs w:val="20"/>
              </w:rPr>
            </w:pPr>
            <w:r w:rsidRPr="0058557C">
              <w:rPr>
                <w:rFonts w:cstheme="minorHAnsi"/>
                <w:b/>
                <w:bCs/>
                <w:color w:val="404040" w:themeColor="text1" w:themeTint="BF"/>
                <w:sz w:val="16"/>
                <w:szCs w:val="20"/>
              </w:rPr>
              <w:t>CORES IN THE</w:t>
            </w:r>
          </w:p>
          <w:p w14:paraId="1A155D14" w14:textId="77777777" w:rsidR="00594520" w:rsidRPr="0058557C" w:rsidRDefault="00594520" w:rsidP="002C0B2D">
            <w:pPr>
              <w:rPr>
                <w:rFonts w:cstheme="minorHAnsi"/>
                <w:b/>
                <w:bCs/>
                <w:color w:val="404040" w:themeColor="text1" w:themeTint="BF"/>
                <w:sz w:val="16"/>
                <w:szCs w:val="20"/>
              </w:rPr>
            </w:pPr>
            <w:r w:rsidRPr="0058557C">
              <w:rPr>
                <w:rFonts w:cstheme="minorHAnsi"/>
                <w:b/>
                <w:bCs/>
                <w:color w:val="404040" w:themeColor="text1" w:themeTint="BF"/>
                <w:sz w:val="16"/>
                <w:szCs w:val="20"/>
              </w:rPr>
              <w:t>PROCESSOR:</w:t>
            </w:r>
          </w:p>
        </w:tc>
        <w:tc>
          <w:tcPr>
            <w:tcW w:w="3492" w:type="dxa"/>
            <w:tcBorders>
              <w:top w:val="nil"/>
              <w:bottom w:val="dotted" w:sz="4" w:space="0" w:color="BFBFBF" w:themeColor="background1" w:themeShade="BF"/>
            </w:tcBorders>
            <w:vAlign w:val="center"/>
          </w:tcPr>
          <w:p w14:paraId="40A0755F" w14:textId="77777777" w:rsidR="00594520" w:rsidRPr="0058557C" w:rsidRDefault="00594520" w:rsidP="002C0B2D">
            <w:pPr>
              <w:rPr>
                <w:color w:val="404040" w:themeColor="text1" w:themeTint="BF"/>
              </w:rPr>
            </w:pPr>
            <w:r w:rsidRPr="0058557C">
              <w:rPr>
                <w:color w:val="404040" w:themeColor="text1" w:themeTint="BF"/>
              </w:rPr>
              <w:t xml:space="preserve">      </w:t>
            </w:r>
            <w:r w:rsidR="00C7267B">
              <w:rPr>
                <w:color w:val="404040" w:themeColor="text1" w:themeTint="BF"/>
              </w:rPr>
              <w:t xml:space="preserve">2 </w:t>
            </w:r>
            <w:r w:rsidRPr="0058557C">
              <w:rPr>
                <w:color w:val="404040" w:themeColor="text1" w:themeTint="BF"/>
              </w:rPr>
              <w:t xml:space="preserve">          </w:t>
            </w:r>
            <w:r w:rsidR="00C7267B">
              <w:rPr>
                <w:color w:val="404040" w:themeColor="text1" w:themeTint="BF"/>
              </w:rPr>
              <w:t>4</w:t>
            </w:r>
            <w:r w:rsidRPr="0058557C">
              <w:rPr>
                <w:color w:val="404040" w:themeColor="text1" w:themeTint="BF"/>
              </w:rPr>
              <w:t xml:space="preserve">             </w:t>
            </w:r>
            <w:r w:rsidR="00C7267B">
              <w:rPr>
                <w:color w:val="404040" w:themeColor="text1" w:themeTint="BF"/>
              </w:rPr>
              <w:t>6</w:t>
            </w:r>
            <w:r w:rsidRPr="0058557C">
              <w:rPr>
                <w:color w:val="404040" w:themeColor="text1" w:themeTint="BF"/>
              </w:rPr>
              <w:t xml:space="preserve">            </w:t>
            </w:r>
            <w:r w:rsidR="00C7267B">
              <w:rPr>
                <w:color w:val="404040" w:themeColor="text1" w:themeTint="BF"/>
              </w:rPr>
              <w:t>8</w:t>
            </w:r>
            <w:r w:rsidRPr="0058557C">
              <w:rPr>
                <w:color w:val="404040" w:themeColor="text1" w:themeTint="BF"/>
              </w:rPr>
              <w:t xml:space="preserve">           </w:t>
            </w:r>
            <w:r w:rsidR="00C7267B">
              <w:rPr>
                <w:color w:val="404040" w:themeColor="text1" w:themeTint="BF"/>
              </w:rPr>
              <w:t>10</w:t>
            </w:r>
          </w:p>
        </w:tc>
      </w:tr>
      <w:tr w:rsidR="00594520" w14:paraId="687B4486" w14:textId="77777777" w:rsidTr="006B470D">
        <w:trPr>
          <w:trHeight w:val="677"/>
        </w:trPr>
        <w:tc>
          <w:tcPr>
            <w:tcW w:w="1721" w:type="dxa"/>
            <w:tcBorders>
              <w:top w:val="dotted" w:sz="4" w:space="0" w:color="BFBFBF" w:themeColor="background1" w:themeShade="BF"/>
              <w:bottom w:val="dotted" w:sz="4" w:space="0" w:color="BFBFBF" w:themeColor="background1" w:themeShade="BF"/>
            </w:tcBorders>
            <w:vAlign w:val="center"/>
          </w:tcPr>
          <w:p w14:paraId="7A91D258" w14:textId="2ECAD686" w:rsidR="00594520" w:rsidRPr="0058557C" w:rsidRDefault="006B470D" w:rsidP="006B470D">
            <w:pPr>
              <w:rPr>
                <w:rFonts w:cstheme="minorHAnsi"/>
                <w:b/>
                <w:bCs/>
                <w:color w:val="404040" w:themeColor="text1" w:themeTint="BF"/>
                <w:sz w:val="16"/>
                <w:szCs w:val="20"/>
              </w:rPr>
            </w:pPr>
            <w:r>
              <w:rPr>
                <w:rFonts w:cstheme="minorHAnsi"/>
                <w:b/>
                <w:bCs/>
                <w:color w:val="404040" w:themeColor="text1" w:themeTint="BF"/>
                <w:sz w:val="16"/>
                <w:szCs w:val="20"/>
              </w:rPr>
              <w:t xml:space="preserve">RENEW </w:t>
            </w:r>
            <w:r w:rsidR="00C7267B" w:rsidRPr="00C7267B">
              <w:rPr>
                <w:rFonts w:cstheme="minorHAnsi"/>
                <w:b/>
                <w:bCs/>
                <w:color w:val="404040" w:themeColor="text1" w:themeTint="BF"/>
                <w:sz w:val="16"/>
                <w:szCs w:val="20"/>
              </w:rPr>
              <w:t>ENTERP</w:t>
            </w:r>
            <w:r>
              <w:rPr>
                <w:rFonts w:cstheme="minorHAnsi"/>
                <w:b/>
                <w:bCs/>
                <w:color w:val="404040" w:themeColor="text1" w:themeTint="BF"/>
                <w:sz w:val="16"/>
                <w:szCs w:val="20"/>
              </w:rPr>
              <w:t>RISE OR STANDARD CORES:</w:t>
            </w:r>
          </w:p>
        </w:tc>
        <w:tc>
          <w:tcPr>
            <w:tcW w:w="3492" w:type="dxa"/>
            <w:tcBorders>
              <w:top w:val="dotted" w:sz="4" w:space="0" w:color="BFBFBF" w:themeColor="background1" w:themeShade="BF"/>
              <w:bottom w:val="dotted" w:sz="4" w:space="0" w:color="BFBFBF" w:themeColor="background1" w:themeShade="BF"/>
            </w:tcBorders>
            <w:vAlign w:val="center"/>
          </w:tcPr>
          <w:p w14:paraId="473F7513" w14:textId="77777777" w:rsidR="00594520" w:rsidRPr="0058557C" w:rsidRDefault="00594520" w:rsidP="002C0B2D">
            <w:pPr>
              <w:rPr>
                <w:color w:val="404040" w:themeColor="text1" w:themeTint="BF"/>
              </w:rPr>
            </w:pPr>
            <w:r w:rsidRPr="0058557C">
              <w:rPr>
                <w:color w:val="404040" w:themeColor="text1" w:themeTint="BF"/>
              </w:rPr>
              <w:t xml:space="preserve">    </w:t>
            </w:r>
            <w:r w:rsidRPr="00C7267B">
              <w:rPr>
                <w:color w:val="404040" w:themeColor="text1" w:themeTint="BF"/>
                <w:shd w:val="clear" w:color="auto" w:fill="BFBFBF" w:themeFill="background1" w:themeFillShade="BF"/>
              </w:rPr>
              <w:t xml:space="preserve">  </w:t>
            </w:r>
            <w:r w:rsidR="00C7267B" w:rsidRPr="00C7267B">
              <w:rPr>
                <w:color w:val="404040" w:themeColor="text1" w:themeTint="BF"/>
                <w:shd w:val="clear" w:color="auto" w:fill="BFBFBF" w:themeFill="background1" w:themeFillShade="BF"/>
              </w:rPr>
              <w:t>4</w:t>
            </w:r>
            <w:r w:rsidRPr="00C7267B">
              <w:rPr>
                <w:color w:val="404040" w:themeColor="text1" w:themeTint="BF"/>
                <w:shd w:val="clear" w:color="auto" w:fill="BFBFBF" w:themeFill="background1" w:themeFillShade="BF"/>
              </w:rPr>
              <w:t xml:space="preserve">           </w:t>
            </w:r>
            <w:r w:rsidR="00C7267B" w:rsidRPr="00C7267B">
              <w:rPr>
                <w:color w:val="404040" w:themeColor="text1" w:themeTint="BF"/>
                <w:shd w:val="clear" w:color="auto" w:fill="BFBFBF" w:themeFill="background1" w:themeFillShade="BF"/>
              </w:rPr>
              <w:t>4</w:t>
            </w:r>
            <w:r w:rsidRPr="00C7267B">
              <w:rPr>
                <w:color w:val="404040" w:themeColor="text1" w:themeTint="BF"/>
                <w:shd w:val="clear" w:color="auto" w:fill="BFBFBF" w:themeFill="background1" w:themeFillShade="BF"/>
              </w:rPr>
              <w:t xml:space="preserve">  </w:t>
            </w:r>
            <w:r w:rsidRPr="0058557C">
              <w:rPr>
                <w:color w:val="404040" w:themeColor="text1" w:themeTint="BF"/>
              </w:rPr>
              <w:t xml:space="preserve">           </w:t>
            </w:r>
            <w:r w:rsidR="00C7267B">
              <w:rPr>
                <w:color w:val="404040" w:themeColor="text1" w:themeTint="BF"/>
              </w:rPr>
              <w:t>6</w:t>
            </w:r>
            <w:r w:rsidRPr="0058557C">
              <w:rPr>
                <w:color w:val="404040" w:themeColor="text1" w:themeTint="BF"/>
              </w:rPr>
              <w:t xml:space="preserve">            </w:t>
            </w:r>
            <w:r w:rsidR="00C7267B">
              <w:rPr>
                <w:color w:val="404040" w:themeColor="text1" w:themeTint="BF"/>
              </w:rPr>
              <w:t>8</w:t>
            </w:r>
            <w:r w:rsidRPr="0058557C">
              <w:rPr>
                <w:color w:val="404040" w:themeColor="text1" w:themeTint="BF"/>
              </w:rPr>
              <w:t xml:space="preserve"> </w:t>
            </w:r>
            <w:r w:rsidR="00C7267B">
              <w:rPr>
                <w:color w:val="404040" w:themeColor="text1" w:themeTint="BF"/>
              </w:rPr>
              <w:t xml:space="preserve">          10</w:t>
            </w:r>
          </w:p>
        </w:tc>
      </w:tr>
      <w:tr w:rsidR="00594520" w14:paraId="1161DBBC" w14:textId="77777777" w:rsidTr="006B470D">
        <w:trPr>
          <w:trHeight w:val="677"/>
        </w:trPr>
        <w:tc>
          <w:tcPr>
            <w:tcW w:w="1721" w:type="dxa"/>
            <w:tcBorders>
              <w:top w:val="dotted" w:sz="4" w:space="0" w:color="BFBFBF" w:themeColor="background1" w:themeShade="BF"/>
              <w:bottom w:val="single" w:sz="4" w:space="0" w:color="943634" w:themeColor="accent2" w:themeShade="BF"/>
            </w:tcBorders>
            <w:vAlign w:val="center"/>
          </w:tcPr>
          <w:p w14:paraId="5C00B4BA" w14:textId="3840A52D" w:rsidR="00594520" w:rsidRPr="0058557C" w:rsidRDefault="006B470D" w:rsidP="006B470D">
            <w:pPr>
              <w:autoSpaceDE w:val="0"/>
              <w:autoSpaceDN w:val="0"/>
              <w:adjustRightInd w:val="0"/>
              <w:spacing w:after="0" w:line="240" w:lineRule="auto"/>
              <w:rPr>
                <w:rFonts w:cstheme="minorHAnsi"/>
                <w:b/>
                <w:bCs/>
                <w:color w:val="404040" w:themeColor="text1" w:themeTint="BF"/>
                <w:sz w:val="16"/>
                <w:szCs w:val="20"/>
              </w:rPr>
            </w:pPr>
            <w:r>
              <w:rPr>
                <w:rFonts w:cstheme="minorHAnsi"/>
                <w:b/>
                <w:bCs/>
                <w:color w:val="404040" w:themeColor="text1" w:themeTint="BF"/>
                <w:sz w:val="16"/>
                <w:szCs w:val="20"/>
              </w:rPr>
              <w:t xml:space="preserve">RENEW </w:t>
            </w:r>
            <w:r w:rsidR="00601B0C">
              <w:rPr>
                <w:rFonts w:cstheme="minorHAnsi"/>
                <w:b/>
                <w:bCs/>
                <w:color w:val="404040" w:themeColor="text1" w:themeTint="BF"/>
                <w:sz w:val="16"/>
                <w:szCs w:val="20"/>
              </w:rPr>
              <w:t>DATACENTER</w:t>
            </w:r>
            <w:r>
              <w:rPr>
                <w:rFonts w:cstheme="minorHAnsi"/>
                <w:b/>
                <w:bCs/>
                <w:color w:val="404040" w:themeColor="text1" w:themeTint="BF"/>
                <w:sz w:val="16"/>
                <w:szCs w:val="20"/>
              </w:rPr>
              <w:t xml:space="preserve"> INTO ENTERPRISE CORES:</w:t>
            </w:r>
          </w:p>
        </w:tc>
        <w:tc>
          <w:tcPr>
            <w:tcW w:w="3492" w:type="dxa"/>
            <w:tcBorders>
              <w:top w:val="dotted" w:sz="4" w:space="0" w:color="BFBFBF" w:themeColor="background1" w:themeShade="BF"/>
              <w:bottom w:val="single" w:sz="4" w:space="0" w:color="943634" w:themeColor="accent2" w:themeShade="BF"/>
            </w:tcBorders>
            <w:vAlign w:val="center"/>
          </w:tcPr>
          <w:p w14:paraId="22221A90" w14:textId="77777777" w:rsidR="00594520" w:rsidRPr="0058557C" w:rsidRDefault="00C7267B" w:rsidP="002C0B2D">
            <w:pPr>
              <w:rPr>
                <w:color w:val="404040" w:themeColor="text1" w:themeTint="BF"/>
              </w:rPr>
            </w:pPr>
            <w:r w:rsidRPr="0058557C">
              <w:rPr>
                <w:color w:val="404040" w:themeColor="text1" w:themeTint="BF"/>
              </w:rPr>
              <w:t xml:space="preserve">    </w:t>
            </w:r>
            <w:r w:rsidRPr="00C7267B">
              <w:rPr>
                <w:color w:val="404040" w:themeColor="text1" w:themeTint="BF"/>
                <w:shd w:val="clear" w:color="auto" w:fill="BFBFBF" w:themeFill="background1" w:themeFillShade="BF"/>
              </w:rPr>
              <w:t xml:space="preserve">  8           8             8            8   </w:t>
            </w:r>
            <w:r>
              <w:rPr>
                <w:color w:val="404040" w:themeColor="text1" w:themeTint="BF"/>
              </w:rPr>
              <w:t xml:space="preserve">     </w:t>
            </w:r>
            <w:r w:rsidRPr="0058557C">
              <w:rPr>
                <w:color w:val="404040" w:themeColor="text1" w:themeTint="BF"/>
              </w:rPr>
              <w:t xml:space="preserve">   </w:t>
            </w:r>
            <w:r>
              <w:rPr>
                <w:color w:val="404040" w:themeColor="text1" w:themeTint="BF"/>
              </w:rPr>
              <w:t>10</w:t>
            </w:r>
          </w:p>
        </w:tc>
      </w:tr>
    </w:tbl>
    <w:p w14:paraId="72377178" w14:textId="77777777" w:rsidR="00694E11" w:rsidRDefault="00694E11" w:rsidP="002F57AC">
      <w:pPr>
        <w:pStyle w:val="Heading3"/>
        <w:spacing w:before="120"/>
      </w:pPr>
    </w:p>
    <w:p w14:paraId="5408EEF2" w14:textId="77777777" w:rsidR="00BD5241" w:rsidRPr="005F0248" w:rsidRDefault="00882233" w:rsidP="002F57AC">
      <w:pPr>
        <w:pStyle w:val="Heading3"/>
        <w:spacing w:before="120"/>
        <w:rPr>
          <w:u w:val="single"/>
        </w:rPr>
      </w:pPr>
      <w:r>
        <w:rPr>
          <w:u w:val="single"/>
        </w:rPr>
        <w:t xml:space="preserve">License </w:t>
      </w:r>
      <w:r w:rsidR="00BD5241" w:rsidRPr="005F0248">
        <w:rPr>
          <w:u w:val="single"/>
        </w:rPr>
        <w:t>Transition Summary</w:t>
      </w:r>
    </w:p>
    <w:p w14:paraId="75C3988C" w14:textId="24865E1A" w:rsidR="00BD5241" w:rsidRPr="00BD5241" w:rsidRDefault="00AE19F7" w:rsidP="00BD5241">
      <w:r>
        <w:rPr>
          <w:noProof/>
        </w:rPr>
        <w:drawing>
          <wp:inline distT="0" distB="0" distL="0" distR="0" wp14:anchorId="51D4E403" wp14:editId="09AC4420">
            <wp:extent cx="3342005" cy="15485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42005" cy="1548534"/>
                    </a:xfrm>
                    <a:prstGeom prst="rect">
                      <a:avLst/>
                    </a:prstGeom>
                  </pic:spPr>
                </pic:pic>
              </a:graphicData>
            </a:graphic>
          </wp:inline>
        </w:drawing>
      </w:r>
    </w:p>
    <w:p w14:paraId="7C5F58DF" w14:textId="77777777" w:rsidR="00AE19F7" w:rsidRDefault="00AE19F7" w:rsidP="002F57AC">
      <w:pPr>
        <w:pStyle w:val="Heading3"/>
        <w:spacing w:before="120"/>
      </w:pPr>
    </w:p>
    <w:p w14:paraId="6BC01C82" w14:textId="77777777" w:rsidR="00934A99" w:rsidRPr="00E94507" w:rsidRDefault="00694E11" w:rsidP="002F57AC">
      <w:pPr>
        <w:pStyle w:val="Heading3"/>
        <w:spacing w:before="120"/>
        <w:rPr>
          <w:b/>
        </w:rPr>
      </w:pPr>
      <w:r>
        <w:t xml:space="preserve">Customers with </w:t>
      </w:r>
      <w:r w:rsidR="00934A99" w:rsidRPr="00E94507">
        <w:t>Enterprise Agreements</w:t>
      </w:r>
    </w:p>
    <w:p w14:paraId="44128590" w14:textId="7EBFE1FE" w:rsidR="00ED69C1" w:rsidRPr="00ED69C1" w:rsidRDefault="00934A99" w:rsidP="002F57AC">
      <w:pPr>
        <w:pStyle w:val="VLBodyBullet"/>
      </w:pPr>
      <w:r w:rsidRPr="00ED69C1">
        <w:t xml:space="preserve">Customers in existing Enterprise Agreements, EAPs and EASs will be able to continue to purchase </w:t>
      </w:r>
      <w:r w:rsidR="00A93CAC">
        <w:t xml:space="preserve">processor licenses and </w:t>
      </w:r>
      <w:r w:rsidRPr="00ED69C1">
        <w:t xml:space="preserve">Enterprise Edition </w:t>
      </w:r>
      <w:r w:rsidR="00441514">
        <w:t>s</w:t>
      </w:r>
      <w:r w:rsidRPr="00ED69C1">
        <w:t>erver licenses</w:t>
      </w:r>
      <w:r w:rsidR="00ED69C1">
        <w:t xml:space="preserve"> through the end of their term.</w:t>
      </w:r>
    </w:p>
    <w:p w14:paraId="159AB32A" w14:textId="224DBBA5" w:rsidR="00ED69C1" w:rsidRPr="00ED69C1" w:rsidRDefault="00852B57" w:rsidP="002F57AC">
      <w:pPr>
        <w:pStyle w:val="VLBodyBullet"/>
      </w:pPr>
      <w:r w:rsidRPr="00ED69C1">
        <w:t xml:space="preserve">Customers purchasing </w:t>
      </w:r>
      <w:r w:rsidR="002977A2">
        <w:t>p</w:t>
      </w:r>
      <w:r w:rsidRPr="00ED69C1">
        <w:t xml:space="preserve">rocessor licenses through the end of their term will continue to </w:t>
      </w:r>
      <w:r w:rsidRPr="00ED69C1">
        <w:lastRenderedPageBreak/>
        <w:t xml:space="preserve">need to calculate the number of licenses </w:t>
      </w:r>
      <w:r w:rsidR="002977A2">
        <w:t>required</w:t>
      </w:r>
      <w:r w:rsidR="002977A2" w:rsidRPr="00ED69C1">
        <w:t xml:space="preserve"> </w:t>
      </w:r>
      <w:r w:rsidRPr="00ED69C1">
        <w:t xml:space="preserve">for a deployment based on the 2008 R2 processor use rights.  </w:t>
      </w:r>
    </w:p>
    <w:p w14:paraId="6AD82188" w14:textId="77777777" w:rsidR="00ED69C1" w:rsidRPr="00ED69C1" w:rsidRDefault="00852B57" w:rsidP="002F57AC">
      <w:pPr>
        <w:pStyle w:val="VLBodyBullet"/>
      </w:pPr>
      <w:r w:rsidRPr="00ED69C1">
        <w:t xml:space="preserve">Customers with an EA or EAP do have the option to add core licenses mid-term to their agreement for future purchases and should contact their reseller or Microsoft account team for more information.  </w:t>
      </w:r>
    </w:p>
    <w:p w14:paraId="008B3EFE" w14:textId="452BD42D" w:rsidR="002977A2" w:rsidRDefault="001E70D3" w:rsidP="002F57AC">
      <w:pPr>
        <w:pStyle w:val="VLBodyBullet"/>
      </w:pPr>
      <w:r>
        <w:t xml:space="preserve">All </w:t>
      </w:r>
      <w:r w:rsidR="002977A2">
        <w:t>s</w:t>
      </w:r>
      <w:r w:rsidR="00934A99" w:rsidRPr="00ED69C1">
        <w:t xml:space="preserve">ervers </w:t>
      </w:r>
      <w:r w:rsidR="002977A2">
        <w:t>licensed with</w:t>
      </w:r>
      <w:r w:rsidR="002977A2" w:rsidRPr="00ED69C1">
        <w:t xml:space="preserve"> </w:t>
      </w:r>
      <w:r w:rsidR="00934A99" w:rsidRPr="00ED69C1">
        <w:t>SQL Server 2012</w:t>
      </w:r>
      <w:r w:rsidR="002977A2">
        <w:t xml:space="preserve"> Enterprise Edition server </w:t>
      </w:r>
      <w:r w:rsidR="00A24F77">
        <w:t xml:space="preserve">+ CAL </w:t>
      </w:r>
      <w:r w:rsidR="002977A2">
        <w:t>licenses</w:t>
      </w:r>
      <w:r w:rsidR="00934A99" w:rsidRPr="00ED69C1">
        <w:t xml:space="preserve"> </w:t>
      </w:r>
      <w:r w:rsidR="00852B57" w:rsidRPr="00ED69C1">
        <w:t xml:space="preserve">will be subject to the 20 core </w:t>
      </w:r>
      <w:r w:rsidR="002977A2">
        <w:t xml:space="preserve">server </w:t>
      </w:r>
      <w:r w:rsidR="00852B57" w:rsidRPr="00ED69C1">
        <w:t>limitation</w:t>
      </w:r>
      <w:r w:rsidR="00441514">
        <w:t>.</w:t>
      </w:r>
    </w:p>
    <w:p w14:paraId="78FC4EFE" w14:textId="77777777" w:rsidR="00EB05A8" w:rsidRPr="00ED69C1" w:rsidRDefault="00934A99" w:rsidP="002F57AC">
      <w:pPr>
        <w:pStyle w:val="VLBodyBullet"/>
      </w:pPr>
      <w:r w:rsidRPr="00ED69C1">
        <w:t>The same process as outlined above will be followed at the end of term</w:t>
      </w:r>
      <w:r w:rsidR="00441514">
        <w:t>.</w:t>
      </w:r>
    </w:p>
    <w:p w14:paraId="026F5360" w14:textId="77777777" w:rsidR="00B701AE" w:rsidRPr="00AB6B0F" w:rsidRDefault="00B701AE" w:rsidP="002F57AC">
      <w:pPr>
        <w:pStyle w:val="Heading1"/>
      </w:pPr>
      <w:r w:rsidRPr="00AB6B0F">
        <w:t>Planning for SQL Server 2012</w:t>
      </w:r>
    </w:p>
    <w:p w14:paraId="03DE3483" w14:textId="77777777" w:rsidR="00B701AE" w:rsidRPr="00441514" w:rsidRDefault="00B701AE" w:rsidP="001864A3">
      <w:pPr>
        <w:pStyle w:val="Body"/>
        <w:rPr>
          <w:rFonts w:ascii="Segoe UI" w:eastAsiaTheme="minorHAnsi" w:hAnsi="Segoe UI"/>
          <w:bCs/>
        </w:rPr>
      </w:pPr>
      <w:r w:rsidRPr="00441514">
        <w:rPr>
          <w:rFonts w:ascii="Segoe UI" w:eastAsiaTheme="minorHAnsi" w:hAnsi="Segoe UI"/>
          <w:bCs/>
        </w:rPr>
        <w:t>Customers planning to deploy SQL Server 2012, either through upgrades or new licenses</w:t>
      </w:r>
      <w:r w:rsidR="00441514">
        <w:rPr>
          <w:rFonts w:ascii="Segoe UI" w:eastAsiaTheme="minorHAnsi" w:hAnsi="Segoe UI"/>
          <w:bCs/>
        </w:rPr>
        <w:t>,</w:t>
      </w:r>
      <w:r w:rsidRPr="00441514">
        <w:rPr>
          <w:rFonts w:ascii="Segoe UI" w:eastAsiaTheme="minorHAnsi" w:hAnsi="Segoe UI"/>
          <w:bCs/>
        </w:rPr>
        <w:t xml:space="preserve"> should remember:</w:t>
      </w:r>
    </w:p>
    <w:p w14:paraId="7E9146A0" w14:textId="77777777" w:rsidR="00B701AE" w:rsidRPr="00AB6B0F" w:rsidRDefault="00B701AE" w:rsidP="001864A3">
      <w:pPr>
        <w:pStyle w:val="VLBodyBullet"/>
      </w:pPr>
      <w:r w:rsidRPr="00AB6B0F">
        <w:t>Renewing Software Assurance (SA) is the best way to protect investment</w:t>
      </w:r>
      <w:r>
        <w:t>s</w:t>
      </w:r>
      <w:r w:rsidR="00106091">
        <w:t xml:space="preserve"> and</w:t>
      </w:r>
      <w:r w:rsidRPr="00AB6B0F">
        <w:t xml:space="preserve"> </w:t>
      </w:r>
      <w:r>
        <w:t>provid</w:t>
      </w:r>
      <w:r w:rsidR="00106091">
        <w:t>e</w:t>
      </w:r>
      <w:r w:rsidRPr="00AB6B0F">
        <w:t xml:space="preserve"> access to new versions as well as </w:t>
      </w:r>
      <w:r w:rsidR="00441514">
        <w:t>Deployment P</w:t>
      </w:r>
      <w:r w:rsidRPr="00AB6B0F">
        <w:t xml:space="preserve">lanning </w:t>
      </w:r>
      <w:r w:rsidR="00441514">
        <w:t>S</w:t>
      </w:r>
      <w:r w:rsidRPr="00AB6B0F">
        <w:t>ervices and technical assistance</w:t>
      </w:r>
      <w:r w:rsidR="00441514">
        <w:t>.</w:t>
      </w:r>
    </w:p>
    <w:p w14:paraId="264F726F" w14:textId="77777777" w:rsidR="00B701AE" w:rsidRPr="00AB6B0F" w:rsidRDefault="00B701AE" w:rsidP="001864A3">
      <w:pPr>
        <w:pStyle w:val="VLBodyBullet"/>
      </w:pPr>
      <w:r w:rsidRPr="00AB6B0F">
        <w:lastRenderedPageBreak/>
        <w:t>EAP will continue to offer customers the best value, including discounts of up to 40%</w:t>
      </w:r>
      <w:r>
        <w:t xml:space="preserve"> on new </w:t>
      </w:r>
      <w:r w:rsidR="001E70D3">
        <w:t xml:space="preserve">EE and BI </w:t>
      </w:r>
      <w:r w:rsidR="009D6D9A">
        <w:t>s</w:t>
      </w:r>
      <w:r w:rsidR="00106091">
        <w:t xml:space="preserve">erver </w:t>
      </w:r>
      <w:r>
        <w:t>licenses</w:t>
      </w:r>
      <w:r w:rsidR="00441514">
        <w:t>.</w:t>
      </w:r>
    </w:p>
    <w:p w14:paraId="50E5E2DE" w14:textId="77777777" w:rsidR="00B701AE" w:rsidRPr="00AB6B0F" w:rsidRDefault="00B701AE" w:rsidP="001864A3">
      <w:pPr>
        <w:pStyle w:val="VLBodyBullet"/>
      </w:pPr>
      <w:r w:rsidRPr="00AB6B0F">
        <w:t xml:space="preserve">Customers should </w:t>
      </w:r>
      <w:r>
        <w:t>select</w:t>
      </w:r>
      <w:r w:rsidRPr="00AB6B0F">
        <w:t xml:space="preserve"> the right edition </w:t>
      </w:r>
      <w:r>
        <w:t>depending on usage:</w:t>
      </w:r>
    </w:p>
    <w:p w14:paraId="1E3D309F" w14:textId="77777777" w:rsidR="00B701AE" w:rsidRPr="00313F11" w:rsidRDefault="00B701AE" w:rsidP="00B838C1">
      <w:pPr>
        <w:pStyle w:val="VLBodyBullet"/>
        <w:numPr>
          <w:ilvl w:val="1"/>
          <w:numId w:val="3"/>
        </w:numPr>
      </w:pPr>
      <w:r w:rsidRPr="00313F11">
        <w:rPr>
          <w:rFonts w:hint="eastAsia"/>
          <w:b/>
        </w:rPr>
        <w:t xml:space="preserve">Enterprise </w:t>
      </w:r>
      <w:r w:rsidRPr="00313F11">
        <w:rPr>
          <w:rFonts w:hint="eastAsia"/>
        </w:rPr>
        <w:t xml:space="preserve">for mission critical applications and </w:t>
      </w:r>
      <w:r>
        <w:t xml:space="preserve">large scale </w:t>
      </w:r>
      <w:r w:rsidRPr="00313F11">
        <w:rPr>
          <w:rFonts w:hint="eastAsia"/>
        </w:rPr>
        <w:t>data warehousing</w:t>
      </w:r>
    </w:p>
    <w:p w14:paraId="2C7F12AA" w14:textId="77777777" w:rsidR="00B701AE" w:rsidRPr="00313F11" w:rsidRDefault="00B701AE" w:rsidP="00B838C1">
      <w:pPr>
        <w:pStyle w:val="VLBodyBullet"/>
        <w:numPr>
          <w:ilvl w:val="1"/>
          <w:numId w:val="3"/>
        </w:numPr>
      </w:pPr>
      <w:r w:rsidRPr="00313F11">
        <w:rPr>
          <w:rFonts w:hint="eastAsia"/>
          <w:b/>
        </w:rPr>
        <w:t>Business Intelligence</w:t>
      </w:r>
      <w:r>
        <w:t xml:space="preserve"> </w:t>
      </w:r>
      <w:r w:rsidR="00441514">
        <w:t>for</w:t>
      </w:r>
      <w:r w:rsidRPr="00313F11">
        <w:rPr>
          <w:rFonts w:hint="eastAsia"/>
        </w:rPr>
        <w:t xml:space="preserve"> premium corporate and self-service </w:t>
      </w:r>
      <w:r>
        <w:t>BI</w:t>
      </w:r>
      <w:r w:rsidRPr="00313F11">
        <w:rPr>
          <w:rFonts w:hint="eastAsia"/>
        </w:rPr>
        <w:t xml:space="preserve"> </w:t>
      </w:r>
    </w:p>
    <w:p w14:paraId="21FBC180" w14:textId="77777777" w:rsidR="00B701AE" w:rsidRPr="00313F11" w:rsidRDefault="00B701AE" w:rsidP="00B838C1">
      <w:pPr>
        <w:pStyle w:val="VLBodyBullet"/>
        <w:numPr>
          <w:ilvl w:val="1"/>
          <w:numId w:val="3"/>
        </w:numPr>
      </w:pPr>
      <w:r w:rsidRPr="00313F11">
        <w:rPr>
          <w:rFonts w:hint="eastAsia"/>
          <w:b/>
        </w:rPr>
        <w:t xml:space="preserve">Standard </w:t>
      </w:r>
      <w:r w:rsidRPr="00313F11">
        <w:rPr>
          <w:rFonts w:hint="eastAsia"/>
        </w:rPr>
        <w:t>for basic database, reporting and analytics</w:t>
      </w:r>
      <w:r w:rsidRPr="00BF6DF9">
        <w:rPr>
          <w:rFonts w:hint="eastAsia"/>
        </w:rPr>
        <w:t xml:space="preserve"> </w:t>
      </w:r>
      <w:r w:rsidRPr="00313F11">
        <w:rPr>
          <w:rFonts w:hint="eastAsia"/>
        </w:rPr>
        <w:t>capabilities</w:t>
      </w:r>
    </w:p>
    <w:p w14:paraId="523B18C0" w14:textId="77777777" w:rsidR="00B701AE" w:rsidRDefault="00B701AE" w:rsidP="001864A3">
      <w:pPr>
        <w:pStyle w:val="VLBodyBullet"/>
      </w:pPr>
      <w:r w:rsidRPr="00AB6B0F">
        <w:t xml:space="preserve">Consolidation and virtualization are the best ways to maximize efficiency of hardware and control the size, computing power and </w:t>
      </w:r>
      <w:r>
        <w:t xml:space="preserve">more granularly manage </w:t>
      </w:r>
      <w:r w:rsidRPr="00AB6B0F">
        <w:t>cost of your deployments</w:t>
      </w:r>
      <w:r w:rsidR="00F450C2">
        <w:t>.</w:t>
      </w:r>
    </w:p>
    <w:p w14:paraId="40316201" w14:textId="77777777" w:rsidR="00C32776" w:rsidRDefault="00C32776" w:rsidP="00AB6B0F">
      <w:pPr>
        <w:pStyle w:val="VLBodyCopy"/>
        <w:spacing w:after="0"/>
        <w:rPr>
          <w:i/>
          <w:sz w:val="16"/>
          <w:szCs w:val="16"/>
        </w:rPr>
      </w:pPr>
    </w:p>
    <w:p w14:paraId="41899B8D" w14:textId="77777777" w:rsidR="00641DDC" w:rsidRDefault="00641DDC" w:rsidP="00AB6B0F">
      <w:pPr>
        <w:pStyle w:val="VLBodyCopy"/>
        <w:spacing w:after="0"/>
        <w:rPr>
          <w:i/>
          <w:sz w:val="16"/>
          <w:szCs w:val="16"/>
        </w:rPr>
      </w:pPr>
    </w:p>
    <w:p w14:paraId="57214C3C" w14:textId="77777777" w:rsidR="00986AAB" w:rsidRDefault="00441514" w:rsidP="00EF4992">
      <w:pPr>
        <w:pStyle w:val="VLBodyCopy"/>
        <w:pBdr>
          <w:top w:val="single" w:sz="4" w:space="1" w:color="000000" w:themeColor="text1"/>
        </w:pBdr>
        <w:spacing w:after="0"/>
      </w:pPr>
      <w:r w:rsidRPr="00441514">
        <w:rPr>
          <w:rFonts w:asciiTheme="minorHAnsi" w:hAnsiTheme="minorHAnsi" w:cstheme="minorHAnsi"/>
          <w:i/>
          <w:color w:val="262626" w:themeColor="text1" w:themeTint="D9"/>
          <w:sz w:val="18"/>
          <w:szCs w:val="18"/>
        </w:rPr>
        <w:t>For</w:t>
      </w:r>
      <w:r w:rsidR="00986AAB" w:rsidRPr="00184443">
        <w:rPr>
          <w:rFonts w:asciiTheme="minorHAnsi" w:hAnsiTheme="minorHAnsi" w:cstheme="minorHAnsi"/>
          <w:i/>
          <w:color w:val="262626" w:themeColor="text1" w:themeTint="D9"/>
          <w:sz w:val="18"/>
          <w:szCs w:val="18"/>
        </w:rPr>
        <w:t xml:space="preserve"> additional information on Microsoft SQL Server 2012, go to the SQL Server website at:</w:t>
      </w:r>
      <w:r w:rsidR="00986AAB" w:rsidRPr="00184443">
        <w:rPr>
          <w:i/>
          <w:color w:val="262626" w:themeColor="text1" w:themeTint="D9"/>
          <w:sz w:val="18"/>
          <w:szCs w:val="18"/>
        </w:rPr>
        <w:t xml:space="preserve"> </w:t>
      </w:r>
      <w:hyperlink r:id="rId37" w:history="1">
        <w:r w:rsidR="00F450C2" w:rsidRPr="00E8388E">
          <w:rPr>
            <w:rStyle w:val="Hyperlink"/>
            <w:i/>
            <w:sz w:val="18"/>
            <w:szCs w:val="18"/>
          </w:rPr>
          <w:t>http://www.microsoft.com/sqlserver</w:t>
        </w:r>
      </w:hyperlink>
      <w:r w:rsidR="00F450C2">
        <w:rPr>
          <w:i/>
          <w:sz w:val="18"/>
          <w:szCs w:val="18"/>
        </w:rPr>
        <w:t xml:space="preserve"> </w:t>
      </w:r>
    </w:p>
    <w:p w14:paraId="337675BC" w14:textId="77777777" w:rsidR="00986AAB" w:rsidRDefault="00986AAB" w:rsidP="00EF4992">
      <w:pPr>
        <w:pStyle w:val="VLBodyCopy"/>
        <w:spacing w:after="0"/>
        <w:rPr>
          <w:i/>
          <w:sz w:val="16"/>
          <w:szCs w:val="16"/>
        </w:rPr>
      </w:pPr>
    </w:p>
    <w:p w14:paraId="31869B76" w14:textId="77777777" w:rsidR="001B21A8" w:rsidRDefault="001B21A8" w:rsidP="00EF4992">
      <w:pPr>
        <w:pStyle w:val="VLBodyCopy"/>
        <w:spacing w:after="0"/>
        <w:rPr>
          <w:i/>
          <w:sz w:val="16"/>
          <w:szCs w:val="16"/>
        </w:rPr>
        <w:sectPr w:rsidR="001B21A8" w:rsidSect="00354630">
          <w:footerReference w:type="default" r:id="rId38"/>
          <w:type w:val="continuous"/>
          <w:pgSz w:w="12240" w:h="15840" w:code="1"/>
          <w:pgMar w:top="720" w:right="720" w:bottom="720" w:left="720" w:header="1008" w:footer="432" w:gutter="0"/>
          <w:cols w:num="2" w:space="274"/>
          <w:titlePg/>
          <w:docGrid w:linePitch="360"/>
        </w:sectPr>
      </w:pPr>
    </w:p>
    <w:p w14:paraId="1406DA1B" w14:textId="77777777" w:rsidR="001B21A8" w:rsidRDefault="001B21A8" w:rsidP="001B21A8">
      <w:pPr>
        <w:autoSpaceDE w:val="0"/>
        <w:autoSpaceDN w:val="0"/>
        <w:adjustRightInd w:val="0"/>
        <w:spacing w:after="0" w:line="240" w:lineRule="auto"/>
        <w:rPr>
          <w:rFonts w:ascii="Segoe" w:hAnsi="Segoe" w:cs="Segoe"/>
          <w:color w:val="414142"/>
          <w:sz w:val="20"/>
          <w:szCs w:val="20"/>
        </w:rPr>
      </w:pPr>
    </w:p>
    <w:p w14:paraId="65EA0849" w14:textId="77777777" w:rsidR="001B21A8" w:rsidRDefault="001B21A8" w:rsidP="001B21A8">
      <w:pPr>
        <w:autoSpaceDE w:val="0"/>
        <w:autoSpaceDN w:val="0"/>
        <w:adjustRightInd w:val="0"/>
        <w:spacing w:after="0" w:line="240" w:lineRule="auto"/>
        <w:rPr>
          <w:rFonts w:ascii="Segoe" w:hAnsi="Segoe" w:cs="Segoe"/>
          <w:color w:val="414142"/>
          <w:sz w:val="20"/>
          <w:szCs w:val="20"/>
        </w:rPr>
      </w:pPr>
    </w:p>
    <w:p w14:paraId="5E4CC77D" w14:textId="77777777" w:rsidR="00862C01" w:rsidRDefault="00862C01" w:rsidP="001B21A8">
      <w:pPr>
        <w:autoSpaceDE w:val="0"/>
        <w:autoSpaceDN w:val="0"/>
        <w:adjustRightInd w:val="0"/>
        <w:spacing w:after="0" w:line="240" w:lineRule="auto"/>
        <w:rPr>
          <w:rFonts w:ascii="Segoe" w:hAnsi="Segoe" w:cs="Segoe"/>
          <w:color w:val="414142"/>
          <w:sz w:val="20"/>
          <w:szCs w:val="20"/>
        </w:rPr>
      </w:pPr>
    </w:p>
    <w:p w14:paraId="428DE0A0" w14:textId="77777777" w:rsidR="00862C01" w:rsidRDefault="00862C01" w:rsidP="001B21A8">
      <w:pPr>
        <w:autoSpaceDE w:val="0"/>
        <w:autoSpaceDN w:val="0"/>
        <w:adjustRightInd w:val="0"/>
        <w:spacing w:after="0" w:line="240" w:lineRule="auto"/>
        <w:rPr>
          <w:rFonts w:ascii="Segoe" w:hAnsi="Segoe" w:cs="Segoe"/>
          <w:color w:val="414142"/>
          <w:sz w:val="20"/>
          <w:szCs w:val="20"/>
        </w:rPr>
      </w:pPr>
    </w:p>
    <w:p w14:paraId="21BDAB09" w14:textId="77777777" w:rsidR="00AE19F7" w:rsidRDefault="00AE19F7" w:rsidP="001B21A8">
      <w:pPr>
        <w:autoSpaceDE w:val="0"/>
        <w:autoSpaceDN w:val="0"/>
        <w:adjustRightInd w:val="0"/>
        <w:spacing w:after="0" w:line="240" w:lineRule="auto"/>
        <w:rPr>
          <w:rFonts w:ascii="Segoe" w:hAnsi="Segoe" w:cs="Segoe"/>
          <w:color w:val="414142"/>
          <w:sz w:val="20"/>
          <w:szCs w:val="20"/>
        </w:rPr>
      </w:pPr>
    </w:p>
    <w:p w14:paraId="045748F9" w14:textId="77777777" w:rsidR="00AE19F7" w:rsidRDefault="00AE19F7" w:rsidP="001B21A8">
      <w:pPr>
        <w:autoSpaceDE w:val="0"/>
        <w:autoSpaceDN w:val="0"/>
        <w:adjustRightInd w:val="0"/>
        <w:spacing w:after="0" w:line="240" w:lineRule="auto"/>
        <w:rPr>
          <w:rFonts w:ascii="Segoe" w:hAnsi="Segoe" w:cs="Segoe"/>
          <w:color w:val="414142"/>
          <w:sz w:val="20"/>
          <w:szCs w:val="20"/>
        </w:rPr>
      </w:pPr>
    </w:p>
    <w:p w14:paraId="23971DA0" w14:textId="77777777" w:rsidR="00AE19F7" w:rsidRDefault="00AE19F7" w:rsidP="001B21A8">
      <w:pPr>
        <w:autoSpaceDE w:val="0"/>
        <w:autoSpaceDN w:val="0"/>
        <w:adjustRightInd w:val="0"/>
        <w:spacing w:after="0" w:line="240" w:lineRule="auto"/>
        <w:rPr>
          <w:rFonts w:ascii="Segoe" w:hAnsi="Segoe" w:cs="Segoe"/>
          <w:color w:val="414142"/>
          <w:sz w:val="20"/>
          <w:szCs w:val="20"/>
        </w:rPr>
      </w:pPr>
    </w:p>
    <w:p w14:paraId="77583A32" w14:textId="77777777" w:rsidR="00AE19F7" w:rsidRDefault="00AE19F7" w:rsidP="001B21A8">
      <w:pPr>
        <w:autoSpaceDE w:val="0"/>
        <w:autoSpaceDN w:val="0"/>
        <w:adjustRightInd w:val="0"/>
        <w:spacing w:after="0" w:line="240" w:lineRule="auto"/>
        <w:rPr>
          <w:rFonts w:ascii="Segoe" w:hAnsi="Segoe" w:cs="Segoe"/>
          <w:color w:val="414142"/>
          <w:sz w:val="20"/>
          <w:szCs w:val="20"/>
        </w:rPr>
      </w:pPr>
    </w:p>
    <w:p w14:paraId="0EBD7D6A" w14:textId="77777777" w:rsidR="00AE19F7" w:rsidRDefault="00AE19F7" w:rsidP="001B21A8">
      <w:pPr>
        <w:autoSpaceDE w:val="0"/>
        <w:autoSpaceDN w:val="0"/>
        <w:adjustRightInd w:val="0"/>
        <w:spacing w:after="0" w:line="240" w:lineRule="auto"/>
        <w:rPr>
          <w:rFonts w:ascii="Segoe" w:hAnsi="Segoe" w:cs="Segoe"/>
          <w:color w:val="414142"/>
          <w:sz w:val="20"/>
          <w:szCs w:val="20"/>
        </w:rPr>
      </w:pPr>
    </w:p>
    <w:p w14:paraId="1680F8B1" w14:textId="77777777" w:rsidR="00AE19F7" w:rsidRDefault="00AE19F7" w:rsidP="001B21A8">
      <w:pPr>
        <w:autoSpaceDE w:val="0"/>
        <w:autoSpaceDN w:val="0"/>
        <w:adjustRightInd w:val="0"/>
        <w:spacing w:after="0" w:line="240" w:lineRule="auto"/>
        <w:rPr>
          <w:rFonts w:ascii="Segoe" w:hAnsi="Segoe" w:cs="Segoe"/>
          <w:color w:val="414142"/>
          <w:sz w:val="20"/>
          <w:szCs w:val="20"/>
        </w:rPr>
      </w:pPr>
    </w:p>
    <w:p w14:paraId="6CD16614" w14:textId="77777777" w:rsidR="00AE19F7" w:rsidRDefault="00AE19F7" w:rsidP="001B21A8">
      <w:pPr>
        <w:autoSpaceDE w:val="0"/>
        <w:autoSpaceDN w:val="0"/>
        <w:adjustRightInd w:val="0"/>
        <w:spacing w:after="0" w:line="240" w:lineRule="auto"/>
        <w:rPr>
          <w:rFonts w:ascii="Segoe" w:hAnsi="Segoe" w:cs="Segoe"/>
          <w:color w:val="414142"/>
          <w:sz w:val="20"/>
          <w:szCs w:val="20"/>
        </w:rPr>
      </w:pPr>
    </w:p>
    <w:p w14:paraId="38460DEB" w14:textId="77777777" w:rsidR="00AE19F7" w:rsidRDefault="00AE19F7" w:rsidP="001B21A8">
      <w:pPr>
        <w:autoSpaceDE w:val="0"/>
        <w:autoSpaceDN w:val="0"/>
        <w:adjustRightInd w:val="0"/>
        <w:spacing w:after="0" w:line="240" w:lineRule="auto"/>
        <w:rPr>
          <w:rFonts w:ascii="Segoe" w:hAnsi="Segoe" w:cs="Segoe"/>
          <w:color w:val="414142"/>
          <w:sz w:val="20"/>
          <w:szCs w:val="20"/>
        </w:rPr>
      </w:pPr>
    </w:p>
    <w:p w14:paraId="57EF2846" w14:textId="77777777" w:rsidR="00DE3869" w:rsidRDefault="00DE3869" w:rsidP="001B21A8">
      <w:pPr>
        <w:autoSpaceDE w:val="0"/>
        <w:autoSpaceDN w:val="0"/>
        <w:adjustRightInd w:val="0"/>
        <w:spacing w:after="0" w:line="240" w:lineRule="auto"/>
        <w:rPr>
          <w:rFonts w:ascii="Segoe" w:hAnsi="Segoe" w:cs="Segoe"/>
          <w:color w:val="414142"/>
          <w:sz w:val="20"/>
          <w:szCs w:val="20"/>
        </w:rPr>
      </w:pPr>
    </w:p>
    <w:p w14:paraId="36675318" w14:textId="5422162D" w:rsidR="001C3A3A" w:rsidRDefault="001C3A3A" w:rsidP="00641DDC">
      <w:pPr>
        <w:pStyle w:val="Body"/>
        <w:spacing w:line="276" w:lineRule="auto"/>
        <w:rPr>
          <w:sz w:val="20"/>
        </w:rPr>
      </w:pPr>
      <w:r w:rsidRPr="001C3A3A">
        <w:rPr>
          <w:sz w:val="20"/>
        </w:rPr>
        <w:t xml:space="preserve">This guide does not supersede or replace any of the legal documentation covering SQL Server 2012 product use rights. Specific product license terms are defined in the product Software License Terms—or in the case of Microsoft Volume Licensing—in the Microsoft Volume Licensing agreement under which the software was acquired and/or the Microsoft Volume Licensing Product Use Rights (PUR). This </w:t>
      </w:r>
      <w:r>
        <w:rPr>
          <w:sz w:val="20"/>
        </w:rPr>
        <w:t>datasheet</w:t>
      </w:r>
      <w:r w:rsidRPr="001C3A3A">
        <w:rPr>
          <w:sz w:val="20"/>
        </w:rPr>
        <w:t xml:space="preserve"> is not a legal use rights document. Program specifications and business rules are subject to change. </w:t>
      </w:r>
    </w:p>
    <w:p w14:paraId="06600DE1" w14:textId="77777777" w:rsidR="001C3A3A" w:rsidRDefault="001C3A3A" w:rsidP="00641DDC">
      <w:pPr>
        <w:pStyle w:val="Body"/>
        <w:spacing w:line="276" w:lineRule="auto"/>
        <w:rPr>
          <w:sz w:val="20"/>
        </w:rPr>
      </w:pPr>
    </w:p>
    <w:p w14:paraId="005CB1C5" w14:textId="77777777" w:rsidR="001C3A3A" w:rsidRPr="001C3A3A" w:rsidRDefault="001C3A3A" w:rsidP="001C3A3A">
      <w:pPr>
        <w:pStyle w:val="Body"/>
        <w:spacing w:line="276" w:lineRule="auto"/>
        <w:rPr>
          <w:i/>
          <w:sz w:val="18"/>
          <w:szCs w:val="16"/>
        </w:rPr>
      </w:pPr>
      <w:r w:rsidRPr="001C3A3A">
        <w:rPr>
          <w:i/>
          <w:sz w:val="18"/>
          <w:szCs w:val="16"/>
        </w:rPr>
        <w:t xml:space="preserve">© 2012 Microsoft Corporation. All Rights Reserved. </w:t>
      </w:r>
    </w:p>
    <w:p w14:paraId="5F622DDD" w14:textId="7F1C93D3" w:rsidR="00B71B8F" w:rsidRDefault="001C3A3A" w:rsidP="001C3A3A">
      <w:pPr>
        <w:pStyle w:val="Body"/>
        <w:spacing w:line="276" w:lineRule="auto"/>
        <w:rPr>
          <w:i/>
          <w:sz w:val="18"/>
          <w:szCs w:val="16"/>
        </w:rPr>
      </w:pPr>
      <w:r w:rsidRPr="001C3A3A">
        <w:rPr>
          <w:i/>
          <w:sz w:val="18"/>
          <w:szCs w:val="16"/>
        </w:rPr>
        <w:t>This document is for informational purposes only. MICROSOFT MAKES NO WARRANTIES, EXPRESS OR IMPLIED, IN THIS SUMMARY.</w:t>
      </w:r>
    </w:p>
    <w:p w14:paraId="2E0114C8" w14:textId="77777777" w:rsidR="001C3A3A" w:rsidRDefault="001C3A3A" w:rsidP="001C3A3A">
      <w:pPr>
        <w:pStyle w:val="Body"/>
        <w:spacing w:line="276" w:lineRule="auto"/>
        <w:rPr>
          <w:i/>
          <w:sz w:val="18"/>
          <w:szCs w:val="16"/>
        </w:rPr>
      </w:pPr>
    </w:p>
    <w:p w14:paraId="178ACF72" w14:textId="77777777" w:rsidR="001C3A3A" w:rsidRPr="001C3A3A" w:rsidRDefault="001C3A3A" w:rsidP="001C3A3A">
      <w:pPr>
        <w:rPr>
          <w:rFonts w:asciiTheme="majorHAnsi" w:hAnsiTheme="majorHAnsi" w:cstheme="majorHAnsi"/>
          <w:sz w:val="56"/>
          <w:szCs w:val="60"/>
        </w:rPr>
      </w:pPr>
      <w:r w:rsidRPr="001C3A3A">
        <w:rPr>
          <w:rFonts w:asciiTheme="majorHAnsi" w:hAnsiTheme="majorHAnsi" w:cstheme="majorHAnsi"/>
          <w:sz w:val="56"/>
          <w:szCs w:val="60"/>
        </w:rPr>
        <w:lastRenderedPageBreak/>
        <w:t>Frequently Asked Questions</w:t>
      </w:r>
    </w:p>
    <w:p w14:paraId="43451032" w14:textId="77777777" w:rsidR="001C3A3A" w:rsidRPr="001C3A3A" w:rsidRDefault="001C3A3A" w:rsidP="001C3A3A">
      <w:pPr>
        <w:rPr>
          <w:rFonts w:asciiTheme="majorHAnsi" w:hAnsiTheme="majorHAnsi" w:cstheme="majorHAnsi"/>
          <w:sz w:val="56"/>
          <w:szCs w:val="60"/>
        </w:rPr>
      </w:pPr>
      <w:r w:rsidRPr="001C3A3A">
        <w:rPr>
          <w:rFonts w:asciiTheme="majorHAnsi" w:hAnsiTheme="majorHAnsi" w:cstheme="majorHAnsi"/>
          <w:sz w:val="56"/>
          <w:szCs w:val="60"/>
        </w:rPr>
        <w:t>SQL Server 2012 – Editions and Licensing</w:t>
      </w:r>
    </w:p>
    <w:p w14:paraId="2B0C6228" w14:textId="77777777" w:rsidR="001C3A3A" w:rsidRDefault="001C3A3A" w:rsidP="001C3A3A">
      <w:pPr>
        <w:pStyle w:val="Body"/>
        <w:spacing w:line="276" w:lineRule="auto"/>
        <w:rPr>
          <w:sz w:val="18"/>
          <w:szCs w:val="16"/>
        </w:rPr>
      </w:pPr>
    </w:p>
    <w:sdt>
      <w:sdtPr>
        <w:rPr>
          <w:rFonts w:asciiTheme="minorHAnsi" w:eastAsiaTheme="minorEastAsia" w:hAnsiTheme="minorHAnsi" w:cstheme="minorBidi"/>
          <w:b w:val="0"/>
          <w:bCs w:val="0"/>
          <w:color w:val="auto"/>
          <w:sz w:val="18"/>
          <w:szCs w:val="22"/>
          <w:lang w:eastAsia="en-US"/>
        </w:rPr>
        <w:id w:val="1335879047"/>
        <w:docPartObj>
          <w:docPartGallery w:val="Table of Contents"/>
          <w:docPartUnique/>
        </w:docPartObj>
      </w:sdtPr>
      <w:sdtEndPr/>
      <w:sdtContent>
        <w:p w14:paraId="3CCAEA0D" w14:textId="77777777" w:rsidR="001C3A3A" w:rsidRDefault="001C3A3A" w:rsidP="001C3A3A">
          <w:pPr>
            <w:pStyle w:val="TOCHeading"/>
            <w:rPr>
              <w:b w:val="0"/>
              <w:color w:val="C0504D" w:themeColor="accent2"/>
              <w:sz w:val="32"/>
              <w:szCs w:val="32"/>
            </w:rPr>
          </w:pPr>
          <w:r>
            <w:rPr>
              <w:b w:val="0"/>
              <w:color w:val="C0504D" w:themeColor="accent2"/>
              <w:sz w:val="32"/>
              <w:szCs w:val="32"/>
            </w:rPr>
            <w:t>Table of Contents</w:t>
          </w:r>
        </w:p>
        <w:p w14:paraId="4F81CF89" w14:textId="77777777" w:rsidR="001C3A3A" w:rsidRDefault="001C3A3A" w:rsidP="001C3A3A">
          <w:pPr>
            <w:rPr>
              <w:lang w:eastAsia="ja-JP"/>
            </w:rPr>
          </w:pPr>
        </w:p>
        <w:p w14:paraId="42039A4E" w14:textId="77777777" w:rsidR="001C3A3A" w:rsidRDefault="001C3A3A" w:rsidP="001C3A3A">
          <w:pPr>
            <w:pStyle w:val="TOC2"/>
            <w:rPr>
              <w:rFonts w:eastAsiaTheme="minorEastAsia"/>
              <w:b w:val="0"/>
            </w:rPr>
          </w:pPr>
          <w:r>
            <w:fldChar w:fldCharType="begin"/>
          </w:r>
          <w:r>
            <w:instrText xml:space="preserve"> TOC \o "1-3" \h \z \u </w:instrText>
          </w:r>
          <w:r>
            <w:fldChar w:fldCharType="separate"/>
          </w:r>
          <w:hyperlink r:id="rId39" w:anchor="_Toc308001335" w:history="1">
            <w:r>
              <w:rPr>
                <w:rStyle w:val="Hyperlink"/>
              </w:rPr>
              <w:t>SQL Server 2012 Editions</w:t>
            </w:r>
            <w:r>
              <w:rPr>
                <w:rStyle w:val="Hyperlink"/>
                <w:webHidden/>
              </w:rPr>
              <w:tab/>
            </w:r>
            <w:r>
              <w:rPr>
                <w:rStyle w:val="Hyperlink"/>
                <w:webHidden/>
              </w:rPr>
              <w:fldChar w:fldCharType="begin"/>
            </w:r>
            <w:r>
              <w:rPr>
                <w:rStyle w:val="Hyperlink"/>
                <w:webHidden/>
              </w:rPr>
              <w:instrText xml:space="preserve"> PAGEREF _Toc308001335 \h </w:instrText>
            </w:r>
            <w:r>
              <w:rPr>
                <w:rStyle w:val="Hyperlink"/>
                <w:webHidden/>
              </w:rPr>
            </w:r>
            <w:r>
              <w:rPr>
                <w:rStyle w:val="Hyperlink"/>
                <w:webHidden/>
              </w:rPr>
              <w:fldChar w:fldCharType="separate"/>
            </w:r>
            <w:r>
              <w:rPr>
                <w:rStyle w:val="Hyperlink"/>
                <w:webHidden/>
              </w:rPr>
              <w:t>3</w:t>
            </w:r>
            <w:r>
              <w:rPr>
                <w:rStyle w:val="Hyperlink"/>
                <w:webHidden/>
              </w:rPr>
              <w:fldChar w:fldCharType="end"/>
            </w:r>
          </w:hyperlink>
        </w:p>
        <w:p w14:paraId="1F436C84" w14:textId="77777777" w:rsidR="001C3A3A" w:rsidRDefault="0018354B" w:rsidP="001C3A3A">
          <w:pPr>
            <w:pStyle w:val="TOC3"/>
            <w:tabs>
              <w:tab w:val="left" w:pos="880"/>
              <w:tab w:val="right" w:leader="dot" w:pos="10790"/>
            </w:tabs>
            <w:rPr>
              <w:noProof/>
              <w:lang w:eastAsia="en-US"/>
            </w:rPr>
          </w:pPr>
          <w:hyperlink r:id="rId40" w:anchor="_Toc308001336" w:history="1">
            <w:r w:rsidR="001C3A3A">
              <w:rPr>
                <w:rStyle w:val="Hyperlink"/>
                <w:noProof/>
              </w:rPr>
              <w:t>1.</w:t>
            </w:r>
            <w:r w:rsidR="001C3A3A">
              <w:rPr>
                <w:rStyle w:val="Hyperlink"/>
                <w:noProof/>
                <w:lang w:eastAsia="en-US"/>
              </w:rPr>
              <w:tab/>
            </w:r>
            <w:r w:rsidR="001C3A3A">
              <w:rPr>
                <w:rStyle w:val="Hyperlink"/>
                <w:noProof/>
              </w:rPr>
              <w:t>What is new in SQL Server 2012?</w:t>
            </w:r>
            <w:r w:rsidR="001C3A3A">
              <w:rPr>
                <w:rStyle w:val="Hyperlink"/>
                <w:noProof/>
                <w:webHidden/>
              </w:rPr>
              <w:tab/>
            </w:r>
            <w:r w:rsidR="001C3A3A">
              <w:rPr>
                <w:rStyle w:val="Hyperlink"/>
                <w:noProof/>
                <w:webHidden/>
              </w:rPr>
              <w:fldChar w:fldCharType="begin"/>
            </w:r>
            <w:r w:rsidR="001C3A3A">
              <w:rPr>
                <w:rStyle w:val="Hyperlink"/>
                <w:noProof/>
                <w:webHidden/>
              </w:rPr>
              <w:instrText xml:space="preserve"> PAGEREF _Toc308001336 \h </w:instrText>
            </w:r>
            <w:r w:rsidR="001C3A3A">
              <w:rPr>
                <w:rStyle w:val="Hyperlink"/>
                <w:noProof/>
                <w:webHidden/>
              </w:rPr>
            </w:r>
            <w:r w:rsidR="001C3A3A">
              <w:rPr>
                <w:rStyle w:val="Hyperlink"/>
                <w:noProof/>
                <w:webHidden/>
              </w:rPr>
              <w:fldChar w:fldCharType="separate"/>
            </w:r>
            <w:r w:rsidR="001C3A3A">
              <w:rPr>
                <w:rStyle w:val="Hyperlink"/>
                <w:noProof/>
                <w:webHidden/>
              </w:rPr>
              <w:t>3</w:t>
            </w:r>
            <w:r w:rsidR="001C3A3A">
              <w:rPr>
                <w:rStyle w:val="Hyperlink"/>
                <w:noProof/>
                <w:webHidden/>
              </w:rPr>
              <w:fldChar w:fldCharType="end"/>
            </w:r>
          </w:hyperlink>
        </w:p>
        <w:p w14:paraId="78A6D70C" w14:textId="77777777" w:rsidR="001C3A3A" w:rsidRDefault="0018354B" w:rsidP="001C3A3A">
          <w:pPr>
            <w:pStyle w:val="TOC3"/>
            <w:tabs>
              <w:tab w:val="left" w:pos="880"/>
              <w:tab w:val="right" w:leader="dot" w:pos="10790"/>
            </w:tabs>
            <w:rPr>
              <w:noProof/>
              <w:lang w:eastAsia="en-US"/>
            </w:rPr>
          </w:pPr>
          <w:hyperlink r:id="rId41" w:anchor="_Toc308001337" w:history="1">
            <w:r w:rsidR="001C3A3A">
              <w:rPr>
                <w:rStyle w:val="Hyperlink"/>
                <w:noProof/>
              </w:rPr>
              <w:t>2.</w:t>
            </w:r>
            <w:r w:rsidR="001C3A3A">
              <w:rPr>
                <w:rStyle w:val="Hyperlink"/>
                <w:noProof/>
                <w:lang w:eastAsia="en-US"/>
              </w:rPr>
              <w:tab/>
            </w:r>
            <w:r w:rsidR="001C3A3A">
              <w:rPr>
                <w:rStyle w:val="Hyperlink"/>
                <w:noProof/>
              </w:rPr>
              <w:t>Can you describe the product editions offered with SQL Server 2012?</w:t>
            </w:r>
            <w:r w:rsidR="001C3A3A">
              <w:rPr>
                <w:rStyle w:val="Hyperlink"/>
                <w:noProof/>
                <w:webHidden/>
              </w:rPr>
              <w:tab/>
            </w:r>
            <w:r w:rsidR="001C3A3A">
              <w:rPr>
                <w:rStyle w:val="Hyperlink"/>
                <w:noProof/>
                <w:webHidden/>
              </w:rPr>
              <w:fldChar w:fldCharType="begin"/>
            </w:r>
            <w:r w:rsidR="001C3A3A">
              <w:rPr>
                <w:rStyle w:val="Hyperlink"/>
                <w:noProof/>
                <w:webHidden/>
              </w:rPr>
              <w:instrText xml:space="preserve"> PAGEREF _Toc308001337 \h </w:instrText>
            </w:r>
            <w:r w:rsidR="001C3A3A">
              <w:rPr>
                <w:rStyle w:val="Hyperlink"/>
                <w:noProof/>
                <w:webHidden/>
              </w:rPr>
            </w:r>
            <w:r w:rsidR="001C3A3A">
              <w:rPr>
                <w:rStyle w:val="Hyperlink"/>
                <w:noProof/>
                <w:webHidden/>
              </w:rPr>
              <w:fldChar w:fldCharType="separate"/>
            </w:r>
            <w:r w:rsidR="001C3A3A">
              <w:rPr>
                <w:rStyle w:val="Hyperlink"/>
                <w:noProof/>
                <w:webHidden/>
              </w:rPr>
              <w:t>3</w:t>
            </w:r>
            <w:r w:rsidR="001C3A3A">
              <w:rPr>
                <w:rStyle w:val="Hyperlink"/>
                <w:noProof/>
                <w:webHidden/>
              </w:rPr>
              <w:fldChar w:fldCharType="end"/>
            </w:r>
          </w:hyperlink>
        </w:p>
        <w:p w14:paraId="3394D20F" w14:textId="77777777" w:rsidR="001C3A3A" w:rsidRDefault="0018354B" w:rsidP="001C3A3A">
          <w:pPr>
            <w:pStyle w:val="TOC3"/>
            <w:tabs>
              <w:tab w:val="left" w:pos="880"/>
              <w:tab w:val="right" w:leader="dot" w:pos="10790"/>
            </w:tabs>
            <w:rPr>
              <w:noProof/>
              <w:lang w:eastAsia="en-US"/>
            </w:rPr>
          </w:pPr>
          <w:hyperlink r:id="rId42" w:anchor="_Toc308001338" w:history="1">
            <w:r w:rsidR="001C3A3A">
              <w:rPr>
                <w:rStyle w:val="Hyperlink"/>
                <w:noProof/>
              </w:rPr>
              <w:t>3.</w:t>
            </w:r>
            <w:r w:rsidR="001C3A3A">
              <w:rPr>
                <w:rStyle w:val="Hyperlink"/>
                <w:noProof/>
                <w:lang w:eastAsia="en-US"/>
              </w:rPr>
              <w:tab/>
            </w:r>
            <w:r w:rsidR="001C3A3A">
              <w:rPr>
                <w:rStyle w:val="Hyperlink"/>
                <w:noProof/>
              </w:rPr>
              <w:t>What about other editions currently available in SQL Server 2008 R2 such as Datacenter, Workgroup and Standard for Small Business Editions?</w:t>
            </w:r>
            <w:r w:rsidR="001C3A3A">
              <w:rPr>
                <w:rStyle w:val="Hyperlink"/>
                <w:noProof/>
                <w:webHidden/>
              </w:rPr>
              <w:tab/>
            </w:r>
            <w:r w:rsidR="001C3A3A">
              <w:rPr>
                <w:rStyle w:val="Hyperlink"/>
                <w:noProof/>
                <w:webHidden/>
              </w:rPr>
              <w:fldChar w:fldCharType="begin"/>
            </w:r>
            <w:r w:rsidR="001C3A3A">
              <w:rPr>
                <w:rStyle w:val="Hyperlink"/>
                <w:noProof/>
                <w:webHidden/>
              </w:rPr>
              <w:instrText xml:space="preserve"> PAGEREF _Toc308001338 \h </w:instrText>
            </w:r>
            <w:r w:rsidR="001C3A3A">
              <w:rPr>
                <w:rStyle w:val="Hyperlink"/>
                <w:noProof/>
                <w:webHidden/>
              </w:rPr>
            </w:r>
            <w:r w:rsidR="001C3A3A">
              <w:rPr>
                <w:rStyle w:val="Hyperlink"/>
                <w:noProof/>
                <w:webHidden/>
              </w:rPr>
              <w:fldChar w:fldCharType="separate"/>
            </w:r>
            <w:r w:rsidR="001C3A3A">
              <w:rPr>
                <w:rStyle w:val="Hyperlink"/>
                <w:noProof/>
                <w:webHidden/>
              </w:rPr>
              <w:t>3</w:t>
            </w:r>
            <w:r w:rsidR="001C3A3A">
              <w:rPr>
                <w:rStyle w:val="Hyperlink"/>
                <w:noProof/>
                <w:webHidden/>
              </w:rPr>
              <w:fldChar w:fldCharType="end"/>
            </w:r>
          </w:hyperlink>
        </w:p>
        <w:p w14:paraId="6F4B5619" w14:textId="77777777" w:rsidR="001C3A3A" w:rsidRDefault="0018354B" w:rsidP="001C3A3A">
          <w:pPr>
            <w:pStyle w:val="TOC3"/>
            <w:tabs>
              <w:tab w:val="left" w:pos="880"/>
              <w:tab w:val="right" w:leader="dot" w:pos="10790"/>
            </w:tabs>
            <w:rPr>
              <w:noProof/>
              <w:lang w:eastAsia="en-US"/>
            </w:rPr>
          </w:pPr>
          <w:hyperlink r:id="rId43" w:anchor="_Toc308001339" w:history="1">
            <w:r w:rsidR="001C3A3A">
              <w:rPr>
                <w:rStyle w:val="Hyperlink"/>
                <w:noProof/>
              </w:rPr>
              <w:t>4.</w:t>
            </w:r>
            <w:r w:rsidR="001C3A3A">
              <w:rPr>
                <w:rStyle w:val="Hyperlink"/>
                <w:noProof/>
                <w:lang w:eastAsia="en-US"/>
              </w:rPr>
              <w:tab/>
            </w:r>
            <w:r w:rsidR="001C3A3A">
              <w:rPr>
                <w:rStyle w:val="Hyperlink"/>
                <w:noProof/>
              </w:rPr>
              <w:t>What is the full list of editions that will be available with SQL Server 2012?</w:t>
            </w:r>
            <w:r w:rsidR="001C3A3A">
              <w:rPr>
                <w:rStyle w:val="Hyperlink"/>
                <w:noProof/>
                <w:webHidden/>
              </w:rPr>
              <w:tab/>
            </w:r>
            <w:r w:rsidR="001C3A3A">
              <w:rPr>
                <w:rStyle w:val="Hyperlink"/>
                <w:noProof/>
                <w:webHidden/>
              </w:rPr>
              <w:fldChar w:fldCharType="begin"/>
            </w:r>
            <w:r w:rsidR="001C3A3A">
              <w:rPr>
                <w:rStyle w:val="Hyperlink"/>
                <w:noProof/>
                <w:webHidden/>
              </w:rPr>
              <w:instrText xml:space="preserve"> PAGEREF _Toc308001339 \h </w:instrText>
            </w:r>
            <w:r w:rsidR="001C3A3A">
              <w:rPr>
                <w:rStyle w:val="Hyperlink"/>
                <w:noProof/>
                <w:webHidden/>
              </w:rPr>
            </w:r>
            <w:r w:rsidR="001C3A3A">
              <w:rPr>
                <w:rStyle w:val="Hyperlink"/>
                <w:noProof/>
                <w:webHidden/>
              </w:rPr>
              <w:fldChar w:fldCharType="separate"/>
            </w:r>
            <w:r w:rsidR="001C3A3A">
              <w:rPr>
                <w:rStyle w:val="Hyperlink"/>
                <w:noProof/>
                <w:webHidden/>
              </w:rPr>
              <w:t>3</w:t>
            </w:r>
            <w:r w:rsidR="001C3A3A">
              <w:rPr>
                <w:rStyle w:val="Hyperlink"/>
                <w:noProof/>
                <w:webHidden/>
              </w:rPr>
              <w:fldChar w:fldCharType="end"/>
            </w:r>
          </w:hyperlink>
        </w:p>
        <w:p w14:paraId="3832F651" w14:textId="77777777" w:rsidR="001C3A3A" w:rsidRDefault="0018354B" w:rsidP="001C3A3A">
          <w:pPr>
            <w:pStyle w:val="TOC2"/>
            <w:rPr>
              <w:rFonts w:eastAsiaTheme="minorEastAsia"/>
              <w:b w:val="0"/>
            </w:rPr>
          </w:pPr>
          <w:hyperlink r:id="rId44" w:anchor="_Toc308001340" w:history="1">
            <w:r w:rsidR="001C3A3A">
              <w:rPr>
                <w:rStyle w:val="Hyperlink"/>
              </w:rPr>
              <w:t>SQL Server 2012 Licensing</w:t>
            </w:r>
            <w:r w:rsidR="001C3A3A">
              <w:rPr>
                <w:rStyle w:val="Hyperlink"/>
                <w:webHidden/>
              </w:rPr>
              <w:tab/>
            </w:r>
            <w:r w:rsidR="001C3A3A">
              <w:rPr>
                <w:rStyle w:val="Hyperlink"/>
                <w:webHidden/>
              </w:rPr>
              <w:fldChar w:fldCharType="begin"/>
            </w:r>
            <w:r w:rsidR="001C3A3A">
              <w:rPr>
                <w:rStyle w:val="Hyperlink"/>
                <w:webHidden/>
              </w:rPr>
              <w:instrText xml:space="preserve"> PAGEREF _Toc308001340 \h </w:instrText>
            </w:r>
            <w:r w:rsidR="001C3A3A">
              <w:rPr>
                <w:rStyle w:val="Hyperlink"/>
                <w:webHidden/>
              </w:rPr>
            </w:r>
            <w:r w:rsidR="001C3A3A">
              <w:rPr>
                <w:rStyle w:val="Hyperlink"/>
                <w:webHidden/>
              </w:rPr>
              <w:fldChar w:fldCharType="separate"/>
            </w:r>
            <w:r w:rsidR="001C3A3A">
              <w:rPr>
                <w:rStyle w:val="Hyperlink"/>
                <w:webHidden/>
              </w:rPr>
              <w:t>3</w:t>
            </w:r>
            <w:r w:rsidR="001C3A3A">
              <w:rPr>
                <w:rStyle w:val="Hyperlink"/>
                <w:webHidden/>
              </w:rPr>
              <w:fldChar w:fldCharType="end"/>
            </w:r>
          </w:hyperlink>
        </w:p>
        <w:p w14:paraId="1620575F" w14:textId="77777777" w:rsidR="001C3A3A" w:rsidRDefault="0018354B" w:rsidP="001C3A3A">
          <w:pPr>
            <w:pStyle w:val="TOC3"/>
            <w:tabs>
              <w:tab w:val="left" w:pos="880"/>
              <w:tab w:val="right" w:leader="dot" w:pos="10790"/>
            </w:tabs>
            <w:rPr>
              <w:noProof/>
              <w:lang w:eastAsia="en-US"/>
            </w:rPr>
          </w:pPr>
          <w:hyperlink r:id="rId45" w:anchor="_Toc308001341" w:history="1">
            <w:r w:rsidR="001C3A3A">
              <w:rPr>
                <w:rStyle w:val="Hyperlink"/>
                <w:noProof/>
                <w:lang w:eastAsia="ko-KR"/>
              </w:rPr>
              <w:t>5.</w:t>
            </w:r>
            <w:r w:rsidR="001C3A3A">
              <w:rPr>
                <w:rStyle w:val="Hyperlink"/>
                <w:noProof/>
                <w:lang w:eastAsia="en-US"/>
              </w:rPr>
              <w:tab/>
            </w:r>
            <w:r w:rsidR="001C3A3A">
              <w:rPr>
                <w:rStyle w:val="Hyperlink"/>
                <w:noProof/>
                <w:lang w:eastAsia="ko-KR"/>
              </w:rPr>
              <w:t>What are the key licensing changes with SQL Server 2012?</w:t>
            </w:r>
            <w:r w:rsidR="001C3A3A">
              <w:rPr>
                <w:rStyle w:val="Hyperlink"/>
                <w:noProof/>
                <w:webHidden/>
              </w:rPr>
              <w:tab/>
            </w:r>
            <w:r w:rsidR="001C3A3A">
              <w:rPr>
                <w:rStyle w:val="Hyperlink"/>
                <w:noProof/>
                <w:webHidden/>
              </w:rPr>
              <w:fldChar w:fldCharType="begin"/>
            </w:r>
            <w:r w:rsidR="001C3A3A">
              <w:rPr>
                <w:rStyle w:val="Hyperlink"/>
                <w:noProof/>
                <w:webHidden/>
              </w:rPr>
              <w:instrText xml:space="preserve"> PAGEREF _Toc308001341 \h </w:instrText>
            </w:r>
            <w:r w:rsidR="001C3A3A">
              <w:rPr>
                <w:rStyle w:val="Hyperlink"/>
                <w:noProof/>
                <w:webHidden/>
              </w:rPr>
            </w:r>
            <w:r w:rsidR="001C3A3A">
              <w:rPr>
                <w:rStyle w:val="Hyperlink"/>
                <w:noProof/>
                <w:webHidden/>
              </w:rPr>
              <w:fldChar w:fldCharType="separate"/>
            </w:r>
            <w:r w:rsidR="001C3A3A">
              <w:rPr>
                <w:rStyle w:val="Hyperlink"/>
                <w:noProof/>
                <w:webHidden/>
              </w:rPr>
              <w:t>3</w:t>
            </w:r>
            <w:r w:rsidR="001C3A3A">
              <w:rPr>
                <w:rStyle w:val="Hyperlink"/>
                <w:noProof/>
                <w:webHidden/>
              </w:rPr>
              <w:fldChar w:fldCharType="end"/>
            </w:r>
          </w:hyperlink>
        </w:p>
        <w:p w14:paraId="71C49819" w14:textId="77777777" w:rsidR="001C3A3A" w:rsidRDefault="0018354B" w:rsidP="001C3A3A">
          <w:pPr>
            <w:pStyle w:val="TOC3"/>
            <w:tabs>
              <w:tab w:val="left" w:pos="880"/>
              <w:tab w:val="right" w:leader="dot" w:pos="10790"/>
            </w:tabs>
            <w:rPr>
              <w:noProof/>
              <w:lang w:eastAsia="en-US"/>
            </w:rPr>
          </w:pPr>
          <w:hyperlink r:id="rId46" w:anchor="_Toc308001342" w:history="1">
            <w:r w:rsidR="001C3A3A">
              <w:rPr>
                <w:rStyle w:val="Hyperlink"/>
                <w:noProof/>
              </w:rPr>
              <w:t>6.</w:t>
            </w:r>
            <w:r w:rsidR="001C3A3A">
              <w:rPr>
                <w:rStyle w:val="Hyperlink"/>
                <w:noProof/>
                <w:lang w:eastAsia="en-US"/>
              </w:rPr>
              <w:tab/>
            </w:r>
            <w:r w:rsidR="001C3A3A">
              <w:rPr>
                <w:rStyle w:val="Hyperlink"/>
                <w:noProof/>
              </w:rPr>
              <w:t>When will these changes come into effect?</w:t>
            </w:r>
            <w:r w:rsidR="001C3A3A">
              <w:rPr>
                <w:rStyle w:val="Hyperlink"/>
                <w:noProof/>
                <w:webHidden/>
              </w:rPr>
              <w:tab/>
            </w:r>
            <w:r w:rsidR="001C3A3A">
              <w:rPr>
                <w:rStyle w:val="Hyperlink"/>
                <w:noProof/>
                <w:webHidden/>
              </w:rPr>
              <w:fldChar w:fldCharType="begin"/>
            </w:r>
            <w:r w:rsidR="001C3A3A">
              <w:rPr>
                <w:rStyle w:val="Hyperlink"/>
                <w:noProof/>
                <w:webHidden/>
              </w:rPr>
              <w:instrText xml:space="preserve"> PAGEREF _Toc308001342 \h </w:instrText>
            </w:r>
            <w:r w:rsidR="001C3A3A">
              <w:rPr>
                <w:rStyle w:val="Hyperlink"/>
                <w:noProof/>
                <w:webHidden/>
              </w:rPr>
            </w:r>
            <w:r w:rsidR="001C3A3A">
              <w:rPr>
                <w:rStyle w:val="Hyperlink"/>
                <w:noProof/>
                <w:webHidden/>
              </w:rPr>
              <w:fldChar w:fldCharType="separate"/>
            </w:r>
            <w:r w:rsidR="001C3A3A">
              <w:rPr>
                <w:rStyle w:val="Hyperlink"/>
                <w:noProof/>
                <w:webHidden/>
              </w:rPr>
              <w:t>4</w:t>
            </w:r>
            <w:r w:rsidR="001C3A3A">
              <w:rPr>
                <w:rStyle w:val="Hyperlink"/>
                <w:noProof/>
                <w:webHidden/>
              </w:rPr>
              <w:fldChar w:fldCharType="end"/>
            </w:r>
          </w:hyperlink>
        </w:p>
        <w:p w14:paraId="1E0BE6F4" w14:textId="77777777" w:rsidR="001C3A3A" w:rsidRDefault="0018354B" w:rsidP="001C3A3A">
          <w:pPr>
            <w:pStyle w:val="TOC3"/>
            <w:tabs>
              <w:tab w:val="left" w:pos="880"/>
              <w:tab w:val="right" w:leader="dot" w:pos="10790"/>
            </w:tabs>
            <w:rPr>
              <w:noProof/>
              <w:lang w:eastAsia="en-US"/>
            </w:rPr>
          </w:pPr>
          <w:hyperlink r:id="rId47" w:anchor="_Toc308001343" w:history="1">
            <w:r w:rsidR="001C3A3A">
              <w:rPr>
                <w:rStyle w:val="Hyperlink"/>
                <w:noProof/>
              </w:rPr>
              <w:t>7.</w:t>
            </w:r>
            <w:r w:rsidR="001C3A3A">
              <w:rPr>
                <w:rStyle w:val="Hyperlink"/>
                <w:noProof/>
                <w:lang w:eastAsia="en-US"/>
              </w:rPr>
              <w:tab/>
            </w:r>
            <w:r w:rsidR="001C3A3A">
              <w:rPr>
                <w:rStyle w:val="Hyperlink"/>
                <w:noProof/>
              </w:rPr>
              <w:t>Are there any virtualization or cloud-related licensing benefits with SQL Server 2012?</w:t>
            </w:r>
            <w:r w:rsidR="001C3A3A">
              <w:rPr>
                <w:rStyle w:val="Hyperlink"/>
                <w:noProof/>
                <w:webHidden/>
              </w:rPr>
              <w:tab/>
            </w:r>
            <w:r w:rsidR="001C3A3A">
              <w:rPr>
                <w:rStyle w:val="Hyperlink"/>
                <w:noProof/>
                <w:webHidden/>
              </w:rPr>
              <w:fldChar w:fldCharType="begin"/>
            </w:r>
            <w:r w:rsidR="001C3A3A">
              <w:rPr>
                <w:rStyle w:val="Hyperlink"/>
                <w:noProof/>
                <w:webHidden/>
              </w:rPr>
              <w:instrText xml:space="preserve"> PAGEREF _Toc308001343 \h </w:instrText>
            </w:r>
            <w:r w:rsidR="001C3A3A">
              <w:rPr>
                <w:rStyle w:val="Hyperlink"/>
                <w:noProof/>
                <w:webHidden/>
              </w:rPr>
            </w:r>
            <w:r w:rsidR="001C3A3A">
              <w:rPr>
                <w:rStyle w:val="Hyperlink"/>
                <w:noProof/>
                <w:webHidden/>
              </w:rPr>
              <w:fldChar w:fldCharType="separate"/>
            </w:r>
            <w:r w:rsidR="001C3A3A">
              <w:rPr>
                <w:rStyle w:val="Hyperlink"/>
                <w:noProof/>
                <w:webHidden/>
              </w:rPr>
              <w:t>4</w:t>
            </w:r>
            <w:r w:rsidR="001C3A3A">
              <w:rPr>
                <w:rStyle w:val="Hyperlink"/>
                <w:noProof/>
                <w:webHidden/>
              </w:rPr>
              <w:fldChar w:fldCharType="end"/>
            </w:r>
          </w:hyperlink>
        </w:p>
        <w:p w14:paraId="49A7D976" w14:textId="77777777" w:rsidR="001C3A3A" w:rsidRDefault="0018354B" w:rsidP="001C3A3A">
          <w:pPr>
            <w:pStyle w:val="TOC3"/>
            <w:tabs>
              <w:tab w:val="left" w:pos="880"/>
              <w:tab w:val="right" w:leader="dot" w:pos="10790"/>
            </w:tabs>
            <w:rPr>
              <w:noProof/>
              <w:lang w:eastAsia="en-US"/>
            </w:rPr>
          </w:pPr>
          <w:hyperlink r:id="rId48" w:anchor="_Toc308001344" w:history="1">
            <w:r w:rsidR="001C3A3A">
              <w:rPr>
                <w:rStyle w:val="Hyperlink"/>
                <w:noProof/>
              </w:rPr>
              <w:t>8.</w:t>
            </w:r>
            <w:r w:rsidR="001C3A3A">
              <w:rPr>
                <w:rStyle w:val="Hyperlink"/>
                <w:noProof/>
                <w:lang w:eastAsia="en-US"/>
              </w:rPr>
              <w:tab/>
            </w:r>
            <w:r w:rsidR="001C3A3A">
              <w:rPr>
                <w:rStyle w:val="Hyperlink"/>
                <w:noProof/>
              </w:rPr>
              <w:t>Could you explain why you are making these changes?</w:t>
            </w:r>
            <w:r w:rsidR="001C3A3A">
              <w:rPr>
                <w:rStyle w:val="Hyperlink"/>
                <w:noProof/>
                <w:webHidden/>
              </w:rPr>
              <w:tab/>
            </w:r>
            <w:r w:rsidR="001C3A3A">
              <w:rPr>
                <w:rStyle w:val="Hyperlink"/>
                <w:noProof/>
                <w:webHidden/>
              </w:rPr>
              <w:fldChar w:fldCharType="begin"/>
            </w:r>
            <w:r w:rsidR="001C3A3A">
              <w:rPr>
                <w:rStyle w:val="Hyperlink"/>
                <w:noProof/>
                <w:webHidden/>
              </w:rPr>
              <w:instrText xml:space="preserve"> PAGEREF _Toc308001344 \h </w:instrText>
            </w:r>
            <w:r w:rsidR="001C3A3A">
              <w:rPr>
                <w:rStyle w:val="Hyperlink"/>
                <w:noProof/>
                <w:webHidden/>
              </w:rPr>
            </w:r>
            <w:r w:rsidR="001C3A3A">
              <w:rPr>
                <w:rStyle w:val="Hyperlink"/>
                <w:noProof/>
                <w:webHidden/>
              </w:rPr>
              <w:fldChar w:fldCharType="separate"/>
            </w:r>
            <w:r w:rsidR="001C3A3A">
              <w:rPr>
                <w:rStyle w:val="Hyperlink"/>
                <w:noProof/>
                <w:webHidden/>
              </w:rPr>
              <w:t>4</w:t>
            </w:r>
            <w:r w:rsidR="001C3A3A">
              <w:rPr>
                <w:rStyle w:val="Hyperlink"/>
                <w:noProof/>
                <w:webHidden/>
              </w:rPr>
              <w:fldChar w:fldCharType="end"/>
            </w:r>
          </w:hyperlink>
        </w:p>
        <w:p w14:paraId="474E4DE5" w14:textId="77777777" w:rsidR="001C3A3A" w:rsidRDefault="0018354B" w:rsidP="001C3A3A">
          <w:pPr>
            <w:pStyle w:val="TOC3"/>
            <w:tabs>
              <w:tab w:val="left" w:pos="880"/>
              <w:tab w:val="right" w:leader="dot" w:pos="10790"/>
            </w:tabs>
            <w:rPr>
              <w:noProof/>
              <w:lang w:eastAsia="en-US"/>
            </w:rPr>
          </w:pPr>
          <w:hyperlink r:id="rId49" w:anchor="_Toc308001345" w:history="1">
            <w:r w:rsidR="001C3A3A">
              <w:rPr>
                <w:rStyle w:val="Hyperlink"/>
                <w:noProof/>
              </w:rPr>
              <w:t>9.</w:t>
            </w:r>
            <w:r w:rsidR="001C3A3A">
              <w:rPr>
                <w:rStyle w:val="Hyperlink"/>
                <w:noProof/>
                <w:lang w:eastAsia="en-US"/>
              </w:rPr>
              <w:tab/>
            </w:r>
            <w:r w:rsidR="001C3A3A">
              <w:rPr>
                <w:rStyle w:val="Hyperlink"/>
                <w:noProof/>
              </w:rPr>
              <w:t>Will other Microsoft products move to core-based licensing as well?</w:t>
            </w:r>
            <w:r w:rsidR="001C3A3A">
              <w:rPr>
                <w:rStyle w:val="Hyperlink"/>
                <w:noProof/>
                <w:webHidden/>
              </w:rPr>
              <w:tab/>
            </w:r>
            <w:r w:rsidR="001C3A3A">
              <w:rPr>
                <w:rStyle w:val="Hyperlink"/>
                <w:noProof/>
                <w:webHidden/>
              </w:rPr>
              <w:fldChar w:fldCharType="begin"/>
            </w:r>
            <w:r w:rsidR="001C3A3A">
              <w:rPr>
                <w:rStyle w:val="Hyperlink"/>
                <w:noProof/>
                <w:webHidden/>
              </w:rPr>
              <w:instrText xml:space="preserve"> PAGEREF _Toc308001345 \h </w:instrText>
            </w:r>
            <w:r w:rsidR="001C3A3A">
              <w:rPr>
                <w:rStyle w:val="Hyperlink"/>
                <w:noProof/>
                <w:webHidden/>
              </w:rPr>
            </w:r>
            <w:r w:rsidR="001C3A3A">
              <w:rPr>
                <w:rStyle w:val="Hyperlink"/>
                <w:noProof/>
                <w:webHidden/>
              </w:rPr>
              <w:fldChar w:fldCharType="separate"/>
            </w:r>
            <w:r w:rsidR="001C3A3A">
              <w:rPr>
                <w:rStyle w:val="Hyperlink"/>
                <w:noProof/>
                <w:webHidden/>
              </w:rPr>
              <w:t>4</w:t>
            </w:r>
            <w:r w:rsidR="001C3A3A">
              <w:rPr>
                <w:rStyle w:val="Hyperlink"/>
                <w:noProof/>
                <w:webHidden/>
              </w:rPr>
              <w:fldChar w:fldCharType="end"/>
            </w:r>
          </w:hyperlink>
        </w:p>
        <w:p w14:paraId="220F35B7" w14:textId="77777777" w:rsidR="001C3A3A" w:rsidRDefault="0018354B" w:rsidP="001C3A3A">
          <w:pPr>
            <w:pStyle w:val="TOC3"/>
            <w:tabs>
              <w:tab w:val="left" w:pos="1100"/>
              <w:tab w:val="right" w:leader="dot" w:pos="10790"/>
            </w:tabs>
            <w:rPr>
              <w:noProof/>
              <w:lang w:eastAsia="en-US"/>
            </w:rPr>
          </w:pPr>
          <w:hyperlink r:id="rId50" w:anchor="_Toc308001346" w:history="1">
            <w:r w:rsidR="001C3A3A">
              <w:rPr>
                <w:rStyle w:val="Hyperlink"/>
                <w:rFonts w:cstheme="minorHAnsi"/>
                <w:noProof/>
              </w:rPr>
              <w:t>10.</w:t>
            </w:r>
            <w:r w:rsidR="001C3A3A">
              <w:rPr>
                <w:rStyle w:val="Hyperlink"/>
                <w:noProof/>
                <w:lang w:eastAsia="en-US"/>
              </w:rPr>
              <w:tab/>
            </w:r>
            <w:r w:rsidR="001C3A3A">
              <w:rPr>
                <w:rStyle w:val="Hyperlink"/>
                <w:rFonts w:cstheme="minorHAnsi"/>
                <w:noProof/>
              </w:rPr>
              <w:t>Will the licensing changes be accompanied by an increase in pricing?</w:t>
            </w:r>
            <w:r w:rsidR="001C3A3A">
              <w:rPr>
                <w:rStyle w:val="Hyperlink"/>
                <w:noProof/>
                <w:webHidden/>
              </w:rPr>
              <w:tab/>
            </w:r>
            <w:r w:rsidR="001C3A3A">
              <w:rPr>
                <w:rStyle w:val="Hyperlink"/>
                <w:noProof/>
                <w:webHidden/>
              </w:rPr>
              <w:fldChar w:fldCharType="begin"/>
            </w:r>
            <w:r w:rsidR="001C3A3A">
              <w:rPr>
                <w:rStyle w:val="Hyperlink"/>
                <w:noProof/>
                <w:webHidden/>
              </w:rPr>
              <w:instrText xml:space="preserve"> PAGEREF _Toc308001346 \h </w:instrText>
            </w:r>
            <w:r w:rsidR="001C3A3A">
              <w:rPr>
                <w:rStyle w:val="Hyperlink"/>
                <w:noProof/>
                <w:webHidden/>
              </w:rPr>
            </w:r>
            <w:r w:rsidR="001C3A3A">
              <w:rPr>
                <w:rStyle w:val="Hyperlink"/>
                <w:noProof/>
                <w:webHidden/>
              </w:rPr>
              <w:fldChar w:fldCharType="separate"/>
            </w:r>
            <w:r w:rsidR="001C3A3A">
              <w:rPr>
                <w:rStyle w:val="Hyperlink"/>
                <w:noProof/>
                <w:webHidden/>
              </w:rPr>
              <w:t>4</w:t>
            </w:r>
            <w:r w:rsidR="001C3A3A">
              <w:rPr>
                <w:rStyle w:val="Hyperlink"/>
                <w:noProof/>
                <w:webHidden/>
              </w:rPr>
              <w:fldChar w:fldCharType="end"/>
            </w:r>
          </w:hyperlink>
        </w:p>
        <w:p w14:paraId="3C8C7A0F" w14:textId="77777777" w:rsidR="001C3A3A" w:rsidRDefault="0018354B" w:rsidP="001C3A3A">
          <w:pPr>
            <w:pStyle w:val="TOC3"/>
            <w:tabs>
              <w:tab w:val="left" w:pos="1100"/>
              <w:tab w:val="right" w:leader="dot" w:pos="10790"/>
            </w:tabs>
            <w:rPr>
              <w:noProof/>
              <w:lang w:eastAsia="en-US"/>
            </w:rPr>
          </w:pPr>
          <w:hyperlink r:id="rId51" w:anchor="_Toc308001347" w:history="1">
            <w:r w:rsidR="001C3A3A">
              <w:rPr>
                <w:rStyle w:val="Hyperlink"/>
                <w:noProof/>
              </w:rPr>
              <w:t>11.</w:t>
            </w:r>
            <w:r w:rsidR="001C3A3A">
              <w:rPr>
                <w:rStyle w:val="Hyperlink"/>
                <w:noProof/>
                <w:lang w:eastAsia="en-US"/>
              </w:rPr>
              <w:tab/>
            </w:r>
            <w:r w:rsidR="001C3A3A">
              <w:rPr>
                <w:rStyle w:val="Hyperlink"/>
                <w:noProof/>
              </w:rPr>
              <w:t>Can I buy core-based licensing for the Business Intelligence edition?</w:t>
            </w:r>
            <w:r w:rsidR="001C3A3A">
              <w:rPr>
                <w:rStyle w:val="Hyperlink"/>
                <w:noProof/>
                <w:webHidden/>
              </w:rPr>
              <w:tab/>
            </w:r>
            <w:r w:rsidR="001C3A3A">
              <w:rPr>
                <w:rStyle w:val="Hyperlink"/>
                <w:noProof/>
                <w:webHidden/>
              </w:rPr>
              <w:fldChar w:fldCharType="begin"/>
            </w:r>
            <w:r w:rsidR="001C3A3A">
              <w:rPr>
                <w:rStyle w:val="Hyperlink"/>
                <w:noProof/>
                <w:webHidden/>
              </w:rPr>
              <w:instrText xml:space="preserve"> PAGEREF _Toc308001347 \h </w:instrText>
            </w:r>
            <w:r w:rsidR="001C3A3A">
              <w:rPr>
                <w:rStyle w:val="Hyperlink"/>
                <w:noProof/>
                <w:webHidden/>
              </w:rPr>
            </w:r>
            <w:r w:rsidR="001C3A3A">
              <w:rPr>
                <w:rStyle w:val="Hyperlink"/>
                <w:noProof/>
                <w:webHidden/>
              </w:rPr>
              <w:fldChar w:fldCharType="separate"/>
            </w:r>
            <w:r w:rsidR="001C3A3A">
              <w:rPr>
                <w:rStyle w:val="Hyperlink"/>
                <w:noProof/>
                <w:webHidden/>
              </w:rPr>
              <w:t>5</w:t>
            </w:r>
            <w:r w:rsidR="001C3A3A">
              <w:rPr>
                <w:rStyle w:val="Hyperlink"/>
                <w:noProof/>
                <w:webHidden/>
              </w:rPr>
              <w:fldChar w:fldCharType="end"/>
            </w:r>
          </w:hyperlink>
        </w:p>
        <w:p w14:paraId="74335D59" w14:textId="77777777" w:rsidR="001C3A3A" w:rsidRDefault="0018354B" w:rsidP="001C3A3A">
          <w:pPr>
            <w:pStyle w:val="TOC3"/>
            <w:tabs>
              <w:tab w:val="left" w:pos="1100"/>
              <w:tab w:val="right" w:leader="dot" w:pos="10790"/>
            </w:tabs>
            <w:rPr>
              <w:noProof/>
              <w:lang w:eastAsia="en-US"/>
            </w:rPr>
          </w:pPr>
          <w:hyperlink r:id="rId52" w:anchor="_Toc308001348" w:history="1">
            <w:r w:rsidR="001C3A3A">
              <w:rPr>
                <w:rStyle w:val="Hyperlink"/>
                <w:noProof/>
              </w:rPr>
              <w:t>12.</w:t>
            </w:r>
            <w:r w:rsidR="001C3A3A">
              <w:rPr>
                <w:rStyle w:val="Hyperlink"/>
                <w:noProof/>
                <w:lang w:eastAsia="en-US"/>
              </w:rPr>
              <w:tab/>
            </w:r>
            <w:r w:rsidR="001C3A3A">
              <w:rPr>
                <w:rStyle w:val="Hyperlink"/>
                <w:noProof/>
              </w:rPr>
              <w:t>Can I use the same CAL for the Business Intelligence and Standard editions?</w:t>
            </w:r>
            <w:r w:rsidR="001C3A3A">
              <w:rPr>
                <w:rStyle w:val="Hyperlink"/>
                <w:noProof/>
                <w:webHidden/>
              </w:rPr>
              <w:tab/>
            </w:r>
            <w:r w:rsidR="001C3A3A">
              <w:rPr>
                <w:rStyle w:val="Hyperlink"/>
                <w:noProof/>
                <w:webHidden/>
              </w:rPr>
              <w:fldChar w:fldCharType="begin"/>
            </w:r>
            <w:r w:rsidR="001C3A3A">
              <w:rPr>
                <w:rStyle w:val="Hyperlink"/>
                <w:noProof/>
                <w:webHidden/>
              </w:rPr>
              <w:instrText xml:space="preserve"> PAGEREF _Toc308001348 \h </w:instrText>
            </w:r>
            <w:r w:rsidR="001C3A3A">
              <w:rPr>
                <w:rStyle w:val="Hyperlink"/>
                <w:noProof/>
                <w:webHidden/>
              </w:rPr>
            </w:r>
            <w:r w:rsidR="001C3A3A">
              <w:rPr>
                <w:rStyle w:val="Hyperlink"/>
                <w:noProof/>
                <w:webHidden/>
              </w:rPr>
              <w:fldChar w:fldCharType="separate"/>
            </w:r>
            <w:r w:rsidR="001C3A3A">
              <w:rPr>
                <w:rStyle w:val="Hyperlink"/>
                <w:noProof/>
                <w:webHidden/>
              </w:rPr>
              <w:t>5</w:t>
            </w:r>
            <w:r w:rsidR="001C3A3A">
              <w:rPr>
                <w:rStyle w:val="Hyperlink"/>
                <w:noProof/>
                <w:webHidden/>
              </w:rPr>
              <w:fldChar w:fldCharType="end"/>
            </w:r>
          </w:hyperlink>
        </w:p>
        <w:p w14:paraId="71911F9B" w14:textId="77777777" w:rsidR="001C3A3A" w:rsidRDefault="0018354B" w:rsidP="001C3A3A">
          <w:pPr>
            <w:pStyle w:val="TOC3"/>
            <w:tabs>
              <w:tab w:val="left" w:pos="1100"/>
              <w:tab w:val="right" w:leader="dot" w:pos="10790"/>
            </w:tabs>
            <w:rPr>
              <w:noProof/>
              <w:lang w:eastAsia="en-US"/>
            </w:rPr>
          </w:pPr>
          <w:hyperlink r:id="rId53" w:anchor="_Toc308001349" w:history="1">
            <w:r w:rsidR="001C3A3A">
              <w:rPr>
                <w:rStyle w:val="Hyperlink"/>
                <w:noProof/>
              </w:rPr>
              <w:t>13.</w:t>
            </w:r>
            <w:r w:rsidR="001C3A3A">
              <w:rPr>
                <w:rStyle w:val="Hyperlink"/>
                <w:noProof/>
                <w:lang w:eastAsia="en-US"/>
              </w:rPr>
              <w:tab/>
            </w:r>
            <w:r w:rsidR="001C3A3A">
              <w:rPr>
                <w:rStyle w:val="Hyperlink"/>
                <w:noProof/>
              </w:rPr>
              <w:t>I have Software Assurance, do I have to pay more to upgrade to SQL Server 2012?</w:t>
            </w:r>
            <w:r w:rsidR="001C3A3A">
              <w:rPr>
                <w:rStyle w:val="Hyperlink"/>
                <w:noProof/>
                <w:webHidden/>
              </w:rPr>
              <w:tab/>
            </w:r>
            <w:r w:rsidR="001C3A3A">
              <w:rPr>
                <w:rStyle w:val="Hyperlink"/>
                <w:noProof/>
                <w:webHidden/>
              </w:rPr>
              <w:fldChar w:fldCharType="begin"/>
            </w:r>
            <w:r w:rsidR="001C3A3A">
              <w:rPr>
                <w:rStyle w:val="Hyperlink"/>
                <w:noProof/>
                <w:webHidden/>
              </w:rPr>
              <w:instrText xml:space="preserve"> PAGEREF _Toc308001349 \h </w:instrText>
            </w:r>
            <w:r w:rsidR="001C3A3A">
              <w:rPr>
                <w:rStyle w:val="Hyperlink"/>
                <w:noProof/>
                <w:webHidden/>
              </w:rPr>
            </w:r>
            <w:r w:rsidR="001C3A3A">
              <w:rPr>
                <w:rStyle w:val="Hyperlink"/>
                <w:noProof/>
                <w:webHidden/>
              </w:rPr>
              <w:fldChar w:fldCharType="separate"/>
            </w:r>
            <w:r w:rsidR="001C3A3A">
              <w:rPr>
                <w:rStyle w:val="Hyperlink"/>
                <w:noProof/>
                <w:webHidden/>
              </w:rPr>
              <w:t>5</w:t>
            </w:r>
            <w:r w:rsidR="001C3A3A">
              <w:rPr>
                <w:rStyle w:val="Hyperlink"/>
                <w:noProof/>
                <w:webHidden/>
              </w:rPr>
              <w:fldChar w:fldCharType="end"/>
            </w:r>
          </w:hyperlink>
        </w:p>
        <w:p w14:paraId="67767C4F" w14:textId="77777777" w:rsidR="001C3A3A" w:rsidRDefault="0018354B" w:rsidP="001C3A3A">
          <w:pPr>
            <w:pStyle w:val="TOC3"/>
            <w:tabs>
              <w:tab w:val="left" w:pos="1100"/>
              <w:tab w:val="right" w:leader="dot" w:pos="10790"/>
            </w:tabs>
            <w:rPr>
              <w:noProof/>
              <w:lang w:eastAsia="en-US"/>
            </w:rPr>
          </w:pPr>
          <w:hyperlink r:id="rId54" w:anchor="_Toc308001350" w:history="1">
            <w:r w:rsidR="001C3A3A">
              <w:rPr>
                <w:rStyle w:val="Hyperlink"/>
                <w:noProof/>
              </w:rPr>
              <w:t>14.</w:t>
            </w:r>
            <w:r w:rsidR="001C3A3A">
              <w:rPr>
                <w:rStyle w:val="Hyperlink"/>
                <w:noProof/>
                <w:lang w:eastAsia="en-US"/>
              </w:rPr>
              <w:tab/>
            </w:r>
            <w:r w:rsidR="001C3A3A">
              <w:rPr>
                <w:rStyle w:val="Hyperlink"/>
                <w:noProof/>
              </w:rPr>
              <w:t>I recently signed up for an Enterprise Agreement (EA)/Enrollment for Application Platform (EAP).  What do these changes mean for me?</w:t>
            </w:r>
            <w:r w:rsidR="001C3A3A">
              <w:rPr>
                <w:rStyle w:val="Hyperlink"/>
                <w:noProof/>
                <w:webHidden/>
              </w:rPr>
              <w:tab/>
            </w:r>
            <w:r w:rsidR="001C3A3A">
              <w:rPr>
                <w:rStyle w:val="Hyperlink"/>
                <w:noProof/>
                <w:webHidden/>
              </w:rPr>
              <w:fldChar w:fldCharType="begin"/>
            </w:r>
            <w:r w:rsidR="001C3A3A">
              <w:rPr>
                <w:rStyle w:val="Hyperlink"/>
                <w:noProof/>
                <w:webHidden/>
              </w:rPr>
              <w:instrText xml:space="preserve"> PAGEREF _Toc308001350 \h </w:instrText>
            </w:r>
            <w:r w:rsidR="001C3A3A">
              <w:rPr>
                <w:rStyle w:val="Hyperlink"/>
                <w:noProof/>
                <w:webHidden/>
              </w:rPr>
            </w:r>
            <w:r w:rsidR="001C3A3A">
              <w:rPr>
                <w:rStyle w:val="Hyperlink"/>
                <w:noProof/>
                <w:webHidden/>
              </w:rPr>
              <w:fldChar w:fldCharType="separate"/>
            </w:r>
            <w:r w:rsidR="001C3A3A">
              <w:rPr>
                <w:rStyle w:val="Hyperlink"/>
                <w:noProof/>
                <w:webHidden/>
              </w:rPr>
              <w:t>5</w:t>
            </w:r>
            <w:r w:rsidR="001C3A3A">
              <w:rPr>
                <w:rStyle w:val="Hyperlink"/>
                <w:noProof/>
                <w:webHidden/>
              </w:rPr>
              <w:fldChar w:fldCharType="end"/>
            </w:r>
          </w:hyperlink>
        </w:p>
        <w:p w14:paraId="478BDE68" w14:textId="77777777" w:rsidR="001C3A3A" w:rsidRDefault="0018354B" w:rsidP="001C3A3A">
          <w:pPr>
            <w:pStyle w:val="TOC3"/>
            <w:tabs>
              <w:tab w:val="left" w:pos="1100"/>
              <w:tab w:val="right" w:leader="dot" w:pos="10790"/>
            </w:tabs>
            <w:rPr>
              <w:noProof/>
              <w:lang w:eastAsia="en-US"/>
            </w:rPr>
          </w:pPr>
          <w:hyperlink r:id="rId55" w:anchor="_Toc308001351" w:history="1">
            <w:r w:rsidR="001C3A3A">
              <w:rPr>
                <w:rStyle w:val="Hyperlink"/>
                <w:noProof/>
              </w:rPr>
              <w:t>15.</w:t>
            </w:r>
            <w:r w:rsidR="001C3A3A">
              <w:rPr>
                <w:rStyle w:val="Hyperlink"/>
                <w:noProof/>
                <w:lang w:eastAsia="en-US"/>
              </w:rPr>
              <w:tab/>
            </w:r>
            <w:r w:rsidR="001C3A3A">
              <w:rPr>
                <w:rStyle w:val="Hyperlink"/>
                <w:noProof/>
              </w:rPr>
              <w:t>How do I migrate from processor licenses to core licenses?  What is the migration path?</w:t>
            </w:r>
            <w:r w:rsidR="001C3A3A">
              <w:rPr>
                <w:rStyle w:val="Hyperlink"/>
                <w:noProof/>
                <w:webHidden/>
              </w:rPr>
              <w:tab/>
            </w:r>
            <w:r w:rsidR="001C3A3A">
              <w:rPr>
                <w:rStyle w:val="Hyperlink"/>
                <w:noProof/>
                <w:webHidden/>
              </w:rPr>
              <w:fldChar w:fldCharType="begin"/>
            </w:r>
            <w:r w:rsidR="001C3A3A">
              <w:rPr>
                <w:rStyle w:val="Hyperlink"/>
                <w:noProof/>
                <w:webHidden/>
              </w:rPr>
              <w:instrText xml:space="preserve"> PAGEREF _Toc308001351 \h </w:instrText>
            </w:r>
            <w:r w:rsidR="001C3A3A">
              <w:rPr>
                <w:rStyle w:val="Hyperlink"/>
                <w:noProof/>
                <w:webHidden/>
              </w:rPr>
            </w:r>
            <w:r w:rsidR="001C3A3A">
              <w:rPr>
                <w:rStyle w:val="Hyperlink"/>
                <w:noProof/>
                <w:webHidden/>
              </w:rPr>
              <w:fldChar w:fldCharType="separate"/>
            </w:r>
            <w:r w:rsidR="001C3A3A">
              <w:rPr>
                <w:rStyle w:val="Hyperlink"/>
                <w:noProof/>
                <w:webHidden/>
              </w:rPr>
              <w:t>5</w:t>
            </w:r>
            <w:r w:rsidR="001C3A3A">
              <w:rPr>
                <w:rStyle w:val="Hyperlink"/>
                <w:noProof/>
                <w:webHidden/>
              </w:rPr>
              <w:fldChar w:fldCharType="end"/>
            </w:r>
          </w:hyperlink>
        </w:p>
        <w:p w14:paraId="5BE01159" w14:textId="77777777" w:rsidR="001C3A3A" w:rsidRDefault="0018354B" w:rsidP="001C3A3A">
          <w:pPr>
            <w:pStyle w:val="TOC3"/>
            <w:tabs>
              <w:tab w:val="left" w:pos="1100"/>
              <w:tab w:val="right" w:leader="dot" w:pos="10790"/>
            </w:tabs>
            <w:rPr>
              <w:noProof/>
              <w:lang w:eastAsia="en-US"/>
            </w:rPr>
          </w:pPr>
          <w:hyperlink r:id="rId56" w:anchor="_Toc308001352" w:history="1">
            <w:r w:rsidR="001C3A3A">
              <w:rPr>
                <w:rStyle w:val="Hyperlink"/>
                <w:noProof/>
              </w:rPr>
              <w:t>16.</w:t>
            </w:r>
            <w:r w:rsidR="001C3A3A">
              <w:rPr>
                <w:rStyle w:val="Hyperlink"/>
                <w:noProof/>
                <w:lang w:eastAsia="en-US"/>
              </w:rPr>
              <w:tab/>
            </w:r>
            <w:r w:rsidR="001C3A3A">
              <w:rPr>
                <w:rStyle w:val="Hyperlink"/>
                <w:noProof/>
              </w:rPr>
              <w:t>How will SQL Server processor licenses with SA be exchanged for SQL Server 2012 core licenses? How will I (and Microsoft) determine the number of cores that I am owed?</w:t>
            </w:r>
            <w:r w:rsidR="001C3A3A">
              <w:rPr>
                <w:rStyle w:val="Hyperlink"/>
                <w:noProof/>
                <w:webHidden/>
              </w:rPr>
              <w:tab/>
            </w:r>
            <w:r w:rsidR="001C3A3A">
              <w:rPr>
                <w:rStyle w:val="Hyperlink"/>
                <w:noProof/>
                <w:webHidden/>
              </w:rPr>
              <w:fldChar w:fldCharType="begin"/>
            </w:r>
            <w:r w:rsidR="001C3A3A">
              <w:rPr>
                <w:rStyle w:val="Hyperlink"/>
                <w:noProof/>
                <w:webHidden/>
              </w:rPr>
              <w:instrText xml:space="preserve"> PAGEREF _Toc308001352 \h </w:instrText>
            </w:r>
            <w:r w:rsidR="001C3A3A">
              <w:rPr>
                <w:rStyle w:val="Hyperlink"/>
                <w:noProof/>
                <w:webHidden/>
              </w:rPr>
            </w:r>
            <w:r w:rsidR="001C3A3A">
              <w:rPr>
                <w:rStyle w:val="Hyperlink"/>
                <w:noProof/>
                <w:webHidden/>
              </w:rPr>
              <w:fldChar w:fldCharType="separate"/>
            </w:r>
            <w:r w:rsidR="001C3A3A">
              <w:rPr>
                <w:rStyle w:val="Hyperlink"/>
                <w:noProof/>
                <w:webHidden/>
              </w:rPr>
              <w:t>5</w:t>
            </w:r>
            <w:r w:rsidR="001C3A3A">
              <w:rPr>
                <w:rStyle w:val="Hyperlink"/>
                <w:noProof/>
                <w:webHidden/>
              </w:rPr>
              <w:fldChar w:fldCharType="end"/>
            </w:r>
          </w:hyperlink>
        </w:p>
        <w:p w14:paraId="3E066DCE" w14:textId="77777777" w:rsidR="001C3A3A" w:rsidRDefault="001C3A3A" w:rsidP="001C3A3A">
          <w:r>
            <w:rPr>
              <w:b/>
              <w:bCs/>
              <w:noProof/>
            </w:rPr>
            <w:fldChar w:fldCharType="end"/>
          </w:r>
        </w:p>
      </w:sdtContent>
    </w:sdt>
    <w:p w14:paraId="17AF55F3" w14:textId="77777777" w:rsidR="001C3A3A" w:rsidRDefault="001C3A3A" w:rsidP="001C3A3A">
      <w:pPr>
        <w:spacing w:after="200" w:line="276" w:lineRule="auto"/>
        <w:rPr>
          <w:rFonts w:ascii="Segoe UI Light" w:hAnsi="Segoe UI Light"/>
          <w:b/>
          <w:sz w:val="32"/>
          <w:szCs w:val="52"/>
        </w:rPr>
      </w:pPr>
      <w:r>
        <w:rPr>
          <w:sz w:val="32"/>
        </w:rPr>
        <w:br w:type="page"/>
      </w:r>
    </w:p>
    <w:p w14:paraId="3C810426" w14:textId="77777777" w:rsidR="001C3A3A" w:rsidRDefault="001C3A3A" w:rsidP="001C3A3A">
      <w:pPr>
        <w:pStyle w:val="Heading2"/>
        <w:spacing w:line="276" w:lineRule="auto"/>
      </w:pPr>
      <w:bookmarkStart w:id="1" w:name="_Toc308001335"/>
      <w:r>
        <w:lastRenderedPageBreak/>
        <w:t>SQL Server 2012 Editions</w:t>
      </w:r>
      <w:bookmarkEnd w:id="1"/>
    </w:p>
    <w:p w14:paraId="3C88FA79" w14:textId="77777777" w:rsidR="001C3A3A" w:rsidRDefault="001C3A3A" w:rsidP="001C3A3A">
      <w:pPr>
        <w:pStyle w:val="Heading3"/>
        <w:numPr>
          <w:ilvl w:val="0"/>
          <w:numId w:val="17"/>
        </w:numPr>
        <w:spacing w:after="120" w:line="240" w:lineRule="auto"/>
      </w:pPr>
      <w:bookmarkStart w:id="2" w:name="_Toc308001336"/>
      <w:r>
        <w:t>What is new in SQL Server 2012?</w:t>
      </w:r>
      <w:bookmarkEnd w:id="2"/>
    </w:p>
    <w:p w14:paraId="6DFDD789" w14:textId="77777777" w:rsidR="001C3A3A" w:rsidRDefault="001C3A3A" w:rsidP="001C3A3A">
      <w:pPr>
        <w:spacing w:after="120" w:line="240" w:lineRule="auto"/>
        <w:ind w:left="360"/>
        <w:rPr>
          <w:sz w:val="22"/>
        </w:rPr>
      </w:pPr>
      <w:r>
        <w:rPr>
          <w:sz w:val="22"/>
        </w:rPr>
        <w:t xml:space="preserve">SQL Server 2012 will provide </w:t>
      </w:r>
      <w:r>
        <w:rPr>
          <w:b/>
          <w:bCs/>
          <w:sz w:val="22"/>
        </w:rPr>
        <w:t>Mission Critical Confidence</w:t>
      </w:r>
      <w:r>
        <w:rPr>
          <w:sz w:val="22"/>
        </w:rPr>
        <w:t xml:space="preserve"> with greater uptime, blazing-fast performance and enhanced security for mission critical workloads; </w:t>
      </w:r>
      <w:r>
        <w:rPr>
          <w:b/>
          <w:bCs/>
          <w:sz w:val="22"/>
        </w:rPr>
        <w:t>Breakthrough Insight</w:t>
      </w:r>
      <w:r>
        <w:rPr>
          <w:sz w:val="22"/>
        </w:rPr>
        <w:t xml:space="preserve">  with managed self-service data exploration and stunning interactive data visualizations capabilities; </w:t>
      </w:r>
      <w:r>
        <w:rPr>
          <w:b/>
          <w:bCs/>
          <w:sz w:val="22"/>
        </w:rPr>
        <w:t xml:space="preserve">Cloud On Your Terms </w:t>
      </w:r>
      <w:r>
        <w:rPr>
          <w:sz w:val="22"/>
        </w:rPr>
        <w:t>by enabling the creation and extension of solutions across on-premises and public cloud.</w:t>
      </w:r>
    </w:p>
    <w:p w14:paraId="3E428BF8" w14:textId="77777777" w:rsidR="001C3A3A" w:rsidRDefault="001C3A3A" w:rsidP="001C3A3A">
      <w:pPr>
        <w:spacing w:after="0" w:line="240" w:lineRule="auto"/>
        <w:ind w:left="360"/>
        <w:rPr>
          <w:rFonts w:cstheme="minorHAnsi"/>
          <w:sz w:val="22"/>
          <w:lang w:eastAsia="ko-KR"/>
        </w:rPr>
      </w:pPr>
    </w:p>
    <w:p w14:paraId="1A0083D6" w14:textId="77777777" w:rsidR="001C3A3A" w:rsidRDefault="001C3A3A" w:rsidP="001C3A3A">
      <w:pPr>
        <w:pStyle w:val="Heading3"/>
        <w:numPr>
          <w:ilvl w:val="0"/>
          <w:numId w:val="17"/>
        </w:numPr>
        <w:spacing w:after="120" w:line="240" w:lineRule="auto"/>
        <w:rPr>
          <w:sz w:val="22"/>
        </w:rPr>
      </w:pPr>
      <w:bookmarkStart w:id="3" w:name="_Toc308001337"/>
      <w:r>
        <w:t>Can you describe the product editions offered with SQL Server 2012?</w:t>
      </w:r>
      <w:bookmarkEnd w:id="3"/>
    </w:p>
    <w:p w14:paraId="20CE5AF2" w14:textId="77777777" w:rsidR="001C3A3A" w:rsidRDefault="001C3A3A" w:rsidP="001C3A3A">
      <w:pPr>
        <w:spacing w:after="120" w:line="240" w:lineRule="auto"/>
        <w:ind w:left="360"/>
        <w:rPr>
          <w:sz w:val="22"/>
        </w:rPr>
      </w:pPr>
      <w:r>
        <w:rPr>
          <w:sz w:val="22"/>
        </w:rPr>
        <w:t>Three main editions, namely Enterprise, Business Intelligence and Standard, will be available:</w:t>
      </w:r>
    </w:p>
    <w:p w14:paraId="2783C437" w14:textId="77777777" w:rsidR="001C3A3A" w:rsidRDefault="001C3A3A" w:rsidP="001C3A3A">
      <w:pPr>
        <w:pStyle w:val="ListParagraph"/>
        <w:numPr>
          <w:ilvl w:val="0"/>
          <w:numId w:val="18"/>
        </w:numPr>
        <w:spacing w:after="120" w:line="240" w:lineRule="auto"/>
        <w:rPr>
          <w:sz w:val="22"/>
        </w:rPr>
      </w:pPr>
      <w:r>
        <w:rPr>
          <w:b/>
          <w:sz w:val="22"/>
        </w:rPr>
        <w:t xml:space="preserve">Enterprise </w:t>
      </w:r>
      <w:r>
        <w:rPr>
          <w:sz w:val="22"/>
        </w:rPr>
        <w:t>for mission critical applications and data warehousing</w:t>
      </w:r>
    </w:p>
    <w:p w14:paraId="050B44B5" w14:textId="77777777" w:rsidR="001C3A3A" w:rsidRDefault="001C3A3A" w:rsidP="001C3A3A">
      <w:pPr>
        <w:pStyle w:val="ListParagraph"/>
        <w:numPr>
          <w:ilvl w:val="0"/>
          <w:numId w:val="18"/>
        </w:numPr>
        <w:spacing w:after="120" w:line="240" w:lineRule="auto"/>
        <w:rPr>
          <w:sz w:val="22"/>
        </w:rPr>
      </w:pPr>
      <w:r>
        <w:rPr>
          <w:b/>
          <w:sz w:val="22"/>
        </w:rPr>
        <w:t xml:space="preserve">Business Intelligence </w:t>
      </w:r>
      <w:r>
        <w:rPr>
          <w:sz w:val="22"/>
        </w:rPr>
        <w:t>(new) for premium corporate and self-service Business Intelligence capabilities</w:t>
      </w:r>
    </w:p>
    <w:p w14:paraId="1C577540" w14:textId="77777777" w:rsidR="001C3A3A" w:rsidRDefault="001C3A3A" w:rsidP="001C3A3A">
      <w:pPr>
        <w:pStyle w:val="ListParagraph"/>
        <w:numPr>
          <w:ilvl w:val="0"/>
          <w:numId w:val="18"/>
        </w:numPr>
        <w:spacing w:after="120" w:line="240" w:lineRule="auto"/>
        <w:rPr>
          <w:sz w:val="22"/>
        </w:rPr>
      </w:pPr>
      <w:r>
        <w:rPr>
          <w:b/>
          <w:sz w:val="22"/>
        </w:rPr>
        <w:t xml:space="preserve">Standard </w:t>
      </w:r>
      <w:r>
        <w:rPr>
          <w:sz w:val="22"/>
        </w:rPr>
        <w:t>for basic database capabilities, reporting and analytics</w:t>
      </w:r>
    </w:p>
    <w:p w14:paraId="6239D324" w14:textId="77777777" w:rsidR="001C3A3A" w:rsidRDefault="001C3A3A" w:rsidP="001C3A3A">
      <w:pPr>
        <w:spacing w:after="120" w:line="240" w:lineRule="auto"/>
        <w:ind w:left="360"/>
        <w:rPr>
          <w:sz w:val="22"/>
        </w:rPr>
      </w:pPr>
      <w:r>
        <w:rPr>
          <w:sz w:val="22"/>
        </w:rPr>
        <w:t xml:space="preserve">The Business Intelligence edition will include all of the Standard Edition’s capabilities, and Enterprise will include all of the Business Intelligence Edition’s capabilities. </w:t>
      </w:r>
    </w:p>
    <w:p w14:paraId="5F660370" w14:textId="77777777" w:rsidR="001C3A3A" w:rsidRDefault="001C3A3A" w:rsidP="001C3A3A">
      <w:pPr>
        <w:spacing w:line="240" w:lineRule="auto"/>
        <w:ind w:left="360"/>
        <w:rPr>
          <w:sz w:val="22"/>
        </w:rPr>
      </w:pPr>
    </w:p>
    <w:p w14:paraId="679EC716" w14:textId="77777777" w:rsidR="001C3A3A" w:rsidRDefault="001C3A3A" w:rsidP="001C3A3A">
      <w:pPr>
        <w:pStyle w:val="Heading3"/>
        <w:numPr>
          <w:ilvl w:val="0"/>
          <w:numId w:val="17"/>
        </w:numPr>
        <w:spacing w:after="120" w:line="240" w:lineRule="auto"/>
        <w:rPr>
          <w:sz w:val="22"/>
        </w:rPr>
      </w:pPr>
      <w:bookmarkStart w:id="4" w:name="_Toc308001338"/>
      <w:r>
        <w:t>What about other editions currently available in SQL Server 2008 R2 such as Datacenter, Workgroup and Standard for Small Business Editions?</w:t>
      </w:r>
      <w:bookmarkEnd w:id="4"/>
      <w:r>
        <w:t xml:space="preserve"> </w:t>
      </w:r>
    </w:p>
    <w:p w14:paraId="51488A4E" w14:textId="77777777" w:rsidR="001C3A3A" w:rsidRDefault="001C3A3A" w:rsidP="001C3A3A">
      <w:pPr>
        <w:spacing w:after="120" w:line="240" w:lineRule="auto"/>
        <w:ind w:left="360"/>
        <w:rPr>
          <w:sz w:val="22"/>
        </w:rPr>
      </w:pPr>
      <w:r>
        <w:rPr>
          <w:sz w:val="22"/>
        </w:rPr>
        <w:t>With the release of SQL Server 2012, the following three editions will be retired:</w:t>
      </w:r>
    </w:p>
    <w:p w14:paraId="66EEC114" w14:textId="77777777" w:rsidR="001C3A3A" w:rsidRDefault="001C3A3A" w:rsidP="001C3A3A">
      <w:pPr>
        <w:pStyle w:val="ListParagraph"/>
        <w:numPr>
          <w:ilvl w:val="0"/>
          <w:numId w:val="19"/>
        </w:numPr>
        <w:spacing w:after="120" w:line="240" w:lineRule="auto"/>
        <w:rPr>
          <w:sz w:val="22"/>
        </w:rPr>
      </w:pPr>
      <w:r>
        <w:rPr>
          <w:rFonts w:eastAsiaTheme="minorHAnsi"/>
          <w:b/>
          <w:sz w:val="22"/>
        </w:rPr>
        <w:t>Datacenter</w:t>
      </w:r>
      <w:r>
        <w:rPr>
          <w:sz w:val="22"/>
        </w:rPr>
        <w:t xml:space="preserve"> – its features will now be available in Enterprise Edition</w:t>
      </w:r>
    </w:p>
    <w:p w14:paraId="707207EF" w14:textId="77777777" w:rsidR="001C3A3A" w:rsidRDefault="001C3A3A" w:rsidP="001C3A3A">
      <w:pPr>
        <w:pStyle w:val="ListParagraph"/>
        <w:numPr>
          <w:ilvl w:val="0"/>
          <w:numId w:val="19"/>
        </w:numPr>
        <w:spacing w:after="120" w:line="240" w:lineRule="auto"/>
        <w:rPr>
          <w:sz w:val="22"/>
        </w:rPr>
      </w:pPr>
      <w:r>
        <w:rPr>
          <w:rFonts w:eastAsiaTheme="minorHAnsi"/>
          <w:b/>
          <w:sz w:val="22"/>
        </w:rPr>
        <w:t>Workgroup</w:t>
      </w:r>
      <w:r>
        <w:rPr>
          <w:sz w:val="22"/>
        </w:rPr>
        <w:t xml:space="preserve"> – Standard will become our edition for basic database needs</w:t>
      </w:r>
    </w:p>
    <w:p w14:paraId="61A75CB3" w14:textId="77777777" w:rsidR="001C3A3A" w:rsidRDefault="001C3A3A" w:rsidP="001C3A3A">
      <w:pPr>
        <w:pStyle w:val="ListParagraph"/>
        <w:numPr>
          <w:ilvl w:val="0"/>
          <w:numId w:val="19"/>
        </w:numPr>
        <w:spacing w:after="120" w:line="240" w:lineRule="auto"/>
        <w:rPr>
          <w:sz w:val="22"/>
        </w:rPr>
      </w:pPr>
      <w:r>
        <w:rPr>
          <w:rFonts w:eastAsiaTheme="minorHAnsi"/>
          <w:b/>
          <w:sz w:val="22"/>
        </w:rPr>
        <w:t>Standard for Small Business</w:t>
      </w:r>
      <w:r>
        <w:rPr>
          <w:sz w:val="22"/>
        </w:rPr>
        <w:t xml:space="preserve"> – Standard becomes our sole edition for basic database needs</w:t>
      </w:r>
    </w:p>
    <w:p w14:paraId="6C9C290C" w14:textId="77777777" w:rsidR="001C3A3A" w:rsidRDefault="001C3A3A" w:rsidP="001C3A3A">
      <w:pPr>
        <w:spacing w:line="240" w:lineRule="auto"/>
        <w:ind w:left="360"/>
        <w:rPr>
          <w:sz w:val="22"/>
        </w:rPr>
      </w:pPr>
    </w:p>
    <w:p w14:paraId="3DDFB263" w14:textId="77777777" w:rsidR="001C3A3A" w:rsidRDefault="001C3A3A" w:rsidP="001C3A3A">
      <w:pPr>
        <w:pStyle w:val="Heading3"/>
        <w:numPr>
          <w:ilvl w:val="0"/>
          <w:numId w:val="17"/>
        </w:numPr>
        <w:spacing w:after="120" w:line="240" w:lineRule="auto"/>
        <w:rPr>
          <w:sz w:val="22"/>
        </w:rPr>
      </w:pPr>
      <w:bookmarkStart w:id="5" w:name="_Toc308001339"/>
      <w:r>
        <w:t>What is the full list of editions that will be available with SQL Server 2012?</w:t>
      </w:r>
      <w:bookmarkEnd w:id="5"/>
      <w:r>
        <w:t xml:space="preserve"> </w:t>
      </w:r>
    </w:p>
    <w:p w14:paraId="49CB51B6" w14:textId="77777777" w:rsidR="001C3A3A" w:rsidRDefault="001C3A3A" w:rsidP="001C3A3A">
      <w:pPr>
        <w:spacing w:after="120" w:line="240" w:lineRule="auto"/>
        <w:ind w:left="360"/>
        <w:rPr>
          <w:sz w:val="22"/>
        </w:rPr>
      </w:pPr>
      <w:r>
        <w:rPr>
          <w:rFonts w:eastAsiaTheme="minorHAnsi"/>
          <w:sz w:val="22"/>
        </w:rPr>
        <w:t>Enterprise, Business Intelligence and Standard</w:t>
      </w:r>
      <w:r>
        <w:rPr>
          <w:sz w:val="22"/>
        </w:rPr>
        <w:t xml:space="preserve"> will be </w:t>
      </w:r>
      <w:r>
        <w:rPr>
          <w:rFonts w:eastAsiaTheme="minorHAnsi"/>
          <w:sz w:val="22"/>
        </w:rPr>
        <w:t>our main editions</w:t>
      </w:r>
      <w:r>
        <w:rPr>
          <w:sz w:val="22"/>
        </w:rPr>
        <w:t>.  The</w:t>
      </w:r>
      <w:r>
        <w:rPr>
          <w:rFonts w:eastAsiaTheme="minorHAnsi"/>
          <w:sz w:val="22"/>
        </w:rPr>
        <w:t xml:space="preserve"> Web </w:t>
      </w:r>
      <w:r>
        <w:rPr>
          <w:sz w:val="22"/>
        </w:rPr>
        <w:t>E</w:t>
      </w:r>
      <w:r>
        <w:rPr>
          <w:rFonts w:eastAsiaTheme="minorHAnsi"/>
          <w:sz w:val="22"/>
        </w:rPr>
        <w:t xml:space="preserve">dition </w:t>
      </w:r>
      <w:r>
        <w:rPr>
          <w:sz w:val="22"/>
        </w:rPr>
        <w:t xml:space="preserve">will be offered only </w:t>
      </w:r>
      <w:r>
        <w:rPr>
          <w:rFonts w:eastAsiaTheme="minorHAnsi"/>
          <w:sz w:val="22"/>
        </w:rPr>
        <w:t xml:space="preserve">to hosters via the Services Provider License Agreement (SLPA).  </w:t>
      </w:r>
      <w:r>
        <w:rPr>
          <w:sz w:val="22"/>
        </w:rPr>
        <w:t>D</w:t>
      </w:r>
      <w:r>
        <w:rPr>
          <w:rFonts w:eastAsiaTheme="minorHAnsi"/>
          <w:sz w:val="22"/>
        </w:rPr>
        <w:t xml:space="preserve">eveloper, Express and Compact Editions </w:t>
      </w:r>
      <w:r>
        <w:rPr>
          <w:sz w:val="22"/>
        </w:rPr>
        <w:t xml:space="preserve">will also continue to be distributed </w:t>
      </w:r>
      <w:r>
        <w:rPr>
          <w:rFonts w:eastAsiaTheme="minorHAnsi"/>
          <w:sz w:val="22"/>
        </w:rPr>
        <w:t xml:space="preserve">without licensing </w:t>
      </w:r>
      <w:r>
        <w:rPr>
          <w:sz w:val="22"/>
        </w:rPr>
        <w:t xml:space="preserve">or pricing </w:t>
      </w:r>
      <w:r>
        <w:rPr>
          <w:rFonts w:eastAsiaTheme="minorHAnsi"/>
          <w:sz w:val="22"/>
        </w:rPr>
        <w:t>changes</w:t>
      </w:r>
      <w:r>
        <w:rPr>
          <w:sz w:val="22"/>
        </w:rPr>
        <w:t>.  We also offer a range of appliances including Parallel Data Warehouse, a BI appliance, and a database consolidation appliance.</w:t>
      </w:r>
    </w:p>
    <w:p w14:paraId="180A937A" w14:textId="77777777" w:rsidR="001C3A3A" w:rsidRDefault="001C3A3A" w:rsidP="001C3A3A">
      <w:pPr>
        <w:spacing w:line="240" w:lineRule="auto"/>
        <w:rPr>
          <w:sz w:val="24"/>
        </w:rPr>
      </w:pPr>
    </w:p>
    <w:p w14:paraId="68C8796C" w14:textId="77777777" w:rsidR="001C3A3A" w:rsidRDefault="001C3A3A" w:rsidP="001C3A3A">
      <w:pPr>
        <w:pStyle w:val="Heading2"/>
        <w:spacing w:line="240" w:lineRule="auto"/>
      </w:pPr>
      <w:bookmarkStart w:id="6" w:name="_Toc308001340"/>
      <w:r>
        <w:t>SQL Server 2012 Licensing</w:t>
      </w:r>
      <w:bookmarkEnd w:id="6"/>
      <w:r>
        <w:t xml:space="preserve"> </w:t>
      </w:r>
    </w:p>
    <w:p w14:paraId="6DE716B9" w14:textId="77777777" w:rsidR="001C3A3A" w:rsidRDefault="001C3A3A" w:rsidP="001C3A3A">
      <w:pPr>
        <w:pStyle w:val="Heading3"/>
        <w:numPr>
          <w:ilvl w:val="0"/>
          <w:numId w:val="17"/>
        </w:numPr>
        <w:spacing w:after="120" w:line="240" w:lineRule="auto"/>
        <w:rPr>
          <w:lang w:eastAsia="ko-KR"/>
        </w:rPr>
      </w:pPr>
      <w:bookmarkStart w:id="7" w:name="_Toc308001341"/>
      <w:r>
        <w:rPr>
          <w:lang w:eastAsia="ko-KR"/>
        </w:rPr>
        <w:t>What are the key licensing changes with SQL Server 2012?</w:t>
      </w:r>
      <w:bookmarkEnd w:id="7"/>
    </w:p>
    <w:p w14:paraId="555FA606" w14:textId="77777777" w:rsidR="001C3A3A" w:rsidRDefault="001C3A3A" w:rsidP="001C3A3A">
      <w:pPr>
        <w:pStyle w:val="NormalWeb"/>
        <w:spacing w:before="0" w:beforeAutospacing="0" w:after="120" w:afterAutospacing="0" w:line="240" w:lineRule="auto"/>
        <w:ind w:left="360"/>
        <w:rPr>
          <w:rFonts w:asciiTheme="minorHAnsi" w:eastAsiaTheme="minorEastAsia" w:hAnsiTheme="minorHAnsi" w:cstheme="minorHAnsi"/>
          <w:color w:val="000000" w:themeColor="text1"/>
          <w:sz w:val="22"/>
          <w:szCs w:val="22"/>
          <w:lang w:eastAsia="ko-KR"/>
        </w:rPr>
      </w:pPr>
      <w:r>
        <w:rPr>
          <w:rFonts w:asciiTheme="minorHAnsi" w:eastAsiaTheme="minorEastAsia" w:hAnsiTheme="minorHAnsi" w:cstheme="minorHAnsi"/>
          <w:color w:val="000000" w:themeColor="text1"/>
          <w:sz w:val="22"/>
          <w:szCs w:val="22"/>
          <w:lang w:eastAsia="ko-KR"/>
        </w:rPr>
        <w:t>With SQL Server 2012, we will offer the following licensing options:</w:t>
      </w:r>
    </w:p>
    <w:p w14:paraId="517126E5" w14:textId="77777777" w:rsidR="001C3A3A" w:rsidRDefault="001C3A3A" w:rsidP="001C3A3A">
      <w:pPr>
        <w:pStyle w:val="ListParagraph"/>
        <w:numPr>
          <w:ilvl w:val="0"/>
          <w:numId w:val="20"/>
        </w:numPr>
        <w:spacing w:after="120" w:line="240" w:lineRule="auto"/>
        <w:ind w:left="720"/>
        <w:rPr>
          <w:rFonts w:cstheme="minorHAnsi"/>
          <w:color w:val="000000" w:themeColor="text1"/>
          <w:sz w:val="22"/>
        </w:rPr>
      </w:pPr>
      <w:r>
        <w:rPr>
          <w:rFonts w:cstheme="minorHAnsi"/>
          <w:color w:val="000000" w:themeColor="text1"/>
          <w:sz w:val="22"/>
        </w:rPr>
        <w:t xml:space="preserve">Core-based Licensing for </w:t>
      </w:r>
      <w:r>
        <w:rPr>
          <w:rFonts w:cstheme="minorHAnsi"/>
          <w:b/>
          <w:color w:val="000000" w:themeColor="text1"/>
          <w:sz w:val="22"/>
        </w:rPr>
        <w:t>Enterprise</w:t>
      </w:r>
      <w:r>
        <w:rPr>
          <w:rFonts w:cstheme="minorHAnsi"/>
          <w:color w:val="000000" w:themeColor="text1"/>
          <w:sz w:val="22"/>
        </w:rPr>
        <w:t xml:space="preserve"> </w:t>
      </w:r>
    </w:p>
    <w:p w14:paraId="7CEDFC8C" w14:textId="77777777" w:rsidR="001C3A3A" w:rsidRDefault="001C3A3A" w:rsidP="001C3A3A">
      <w:pPr>
        <w:pStyle w:val="ListParagraph"/>
        <w:numPr>
          <w:ilvl w:val="0"/>
          <w:numId w:val="20"/>
        </w:numPr>
        <w:spacing w:after="120" w:line="240" w:lineRule="auto"/>
        <w:ind w:left="720"/>
        <w:rPr>
          <w:rFonts w:cstheme="minorHAnsi"/>
          <w:color w:val="000000" w:themeColor="text1"/>
          <w:sz w:val="22"/>
        </w:rPr>
      </w:pPr>
      <w:r>
        <w:rPr>
          <w:rFonts w:cstheme="minorHAnsi"/>
          <w:color w:val="000000" w:themeColor="text1"/>
          <w:sz w:val="22"/>
        </w:rPr>
        <w:t xml:space="preserve">Server + CAL licensing for </w:t>
      </w:r>
      <w:r>
        <w:rPr>
          <w:rFonts w:cstheme="minorHAnsi"/>
          <w:b/>
          <w:color w:val="000000" w:themeColor="text1"/>
          <w:sz w:val="22"/>
        </w:rPr>
        <w:t>Business Intelligence</w:t>
      </w:r>
    </w:p>
    <w:p w14:paraId="50FE9380" w14:textId="77777777" w:rsidR="001C3A3A" w:rsidRDefault="001C3A3A" w:rsidP="001C3A3A">
      <w:pPr>
        <w:pStyle w:val="ListParagraph"/>
        <w:numPr>
          <w:ilvl w:val="0"/>
          <w:numId w:val="20"/>
        </w:numPr>
        <w:spacing w:after="120" w:line="240" w:lineRule="auto"/>
        <w:ind w:left="720"/>
        <w:rPr>
          <w:rFonts w:cstheme="minorHAnsi"/>
          <w:color w:val="000000" w:themeColor="text1"/>
          <w:sz w:val="24"/>
          <w:szCs w:val="24"/>
        </w:rPr>
      </w:pPr>
      <w:r>
        <w:rPr>
          <w:rFonts w:cstheme="minorHAnsi"/>
          <w:color w:val="000000" w:themeColor="text1"/>
          <w:sz w:val="22"/>
        </w:rPr>
        <w:t xml:space="preserve">Choice of core-based licensing or Server + CAL licensing for </w:t>
      </w:r>
      <w:r>
        <w:rPr>
          <w:rFonts w:cstheme="minorHAnsi"/>
          <w:b/>
          <w:color w:val="000000" w:themeColor="text1"/>
          <w:sz w:val="22"/>
        </w:rPr>
        <w:t>Standard</w:t>
      </w:r>
    </w:p>
    <w:p w14:paraId="516D6D17" w14:textId="77777777" w:rsidR="001C3A3A" w:rsidRDefault="001C3A3A" w:rsidP="001C3A3A">
      <w:pPr>
        <w:spacing w:after="120" w:line="240" w:lineRule="auto"/>
      </w:pPr>
    </w:p>
    <w:p w14:paraId="6DFEF228" w14:textId="77777777" w:rsidR="001C3A3A" w:rsidRDefault="001C3A3A" w:rsidP="001C3A3A">
      <w:pPr>
        <w:spacing w:after="120" w:line="240" w:lineRule="auto"/>
      </w:pPr>
    </w:p>
    <w:p w14:paraId="689CCA76" w14:textId="77777777" w:rsidR="001C3A3A" w:rsidRDefault="001C3A3A" w:rsidP="001C3A3A">
      <w:pPr>
        <w:pStyle w:val="Heading3"/>
        <w:numPr>
          <w:ilvl w:val="0"/>
          <w:numId w:val="17"/>
        </w:numPr>
        <w:spacing w:after="120" w:line="240" w:lineRule="auto"/>
      </w:pPr>
      <w:bookmarkStart w:id="8" w:name="_Toc308001342"/>
      <w:r>
        <w:t>When will these changes come into effect?</w:t>
      </w:r>
      <w:bookmarkEnd w:id="8"/>
      <w:r>
        <w:t xml:space="preserve"> </w:t>
      </w:r>
    </w:p>
    <w:p w14:paraId="620FFA4A" w14:textId="77777777" w:rsidR="001C3A3A" w:rsidRDefault="001C3A3A" w:rsidP="001C3A3A">
      <w:pPr>
        <w:spacing w:after="120" w:line="240" w:lineRule="auto"/>
        <w:ind w:left="360"/>
        <w:rPr>
          <w:sz w:val="22"/>
        </w:rPr>
      </w:pPr>
      <w:r>
        <w:rPr>
          <w:rFonts w:eastAsiaTheme="minorHAnsi"/>
          <w:sz w:val="22"/>
        </w:rPr>
        <w:t>Licensing changes will come into effect at the general availability of SQL Server 2012.  Microsoft SQL Server 2012 will release on April 1</w:t>
      </w:r>
      <w:r>
        <w:rPr>
          <w:rFonts w:eastAsiaTheme="minorHAnsi"/>
          <w:sz w:val="22"/>
          <w:vertAlign w:val="superscript"/>
        </w:rPr>
        <w:t>st</w:t>
      </w:r>
      <w:r>
        <w:rPr>
          <w:rFonts w:eastAsiaTheme="minorHAnsi"/>
          <w:sz w:val="22"/>
        </w:rPr>
        <w:t xml:space="preserve">, 2012.  </w:t>
      </w:r>
    </w:p>
    <w:p w14:paraId="1A01D887" w14:textId="77777777" w:rsidR="001C3A3A" w:rsidRDefault="001C3A3A" w:rsidP="001C3A3A">
      <w:pPr>
        <w:spacing w:after="120" w:line="240" w:lineRule="auto"/>
      </w:pPr>
    </w:p>
    <w:p w14:paraId="53DC7F3F" w14:textId="77777777" w:rsidR="001C3A3A" w:rsidRDefault="001C3A3A" w:rsidP="001C3A3A">
      <w:pPr>
        <w:pStyle w:val="Heading3"/>
        <w:numPr>
          <w:ilvl w:val="0"/>
          <w:numId w:val="17"/>
        </w:numPr>
        <w:spacing w:after="120" w:line="240" w:lineRule="auto"/>
      </w:pPr>
      <w:bookmarkStart w:id="9" w:name="_Toc308001343"/>
      <w:r>
        <w:t>Are there any virtualization or cloud-related licensing benefits with SQL Server 2012?</w:t>
      </w:r>
      <w:bookmarkEnd w:id="9"/>
    </w:p>
    <w:p w14:paraId="4D0A634F" w14:textId="77777777" w:rsidR="001C3A3A" w:rsidRDefault="001C3A3A" w:rsidP="001C3A3A">
      <w:pPr>
        <w:spacing w:after="120" w:line="240" w:lineRule="auto"/>
        <w:ind w:left="360"/>
        <w:rPr>
          <w:rFonts w:cstheme="minorHAnsi"/>
          <w:color w:val="000000" w:themeColor="text1"/>
          <w:sz w:val="22"/>
        </w:rPr>
      </w:pPr>
      <w:r>
        <w:rPr>
          <w:rFonts w:cstheme="minorHAnsi"/>
          <w:color w:val="000000" w:themeColor="text1"/>
          <w:sz w:val="22"/>
        </w:rPr>
        <w:t xml:space="preserve">SQL Server 2012 will provide a variety of virtualization and cloud benefits that will help customers save money on database licensing and retain flexibility in their database deployments.  Customers can: </w:t>
      </w:r>
    </w:p>
    <w:p w14:paraId="2290BC38" w14:textId="77777777" w:rsidR="001C3A3A" w:rsidRDefault="001C3A3A" w:rsidP="001C3A3A">
      <w:pPr>
        <w:pStyle w:val="ListParagraph"/>
        <w:numPr>
          <w:ilvl w:val="0"/>
          <w:numId w:val="21"/>
        </w:numPr>
        <w:spacing w:after="120" w:line="240" w:lineRule="auto"/>
        <w:ind w:left="720"/>
        <w:rPr>
          <w:rFonts w:cstheme="minorHAnsi"/>
          <w:color w:val="000000" w:themeColor="text1"/>
          <w:sz w:val="22"/>
        </w:rPr>
      </w:pPr>
      <w:r>
        <w:rPr>
          <w:rFonts w:cstheme="minorHAnsi"/>
          <w:color w:val="000000" w:themeColor="text1"/>
          <w:sz w:val="22"/>
          <w:u w:val="single"/>
        </w:rPr>
        <w:t>License individual Virtual Machines (VM)</w:t>
      </w:r>
      <w:r>
        <w:rPr>
          <w:rFonts w:cstheme="minorHAnsi"/>
          <w:color w:val="000000" w:themeColor="text1"/>
          <w:sz w:val="22"/>
        </w:rPr>
        <w:t>, and when licensing per core, buy core licenses only for the virtual cores (threads or physical cores) assigned to the VM.</w:t>
      </w:r>
    </w:p>
    <w:p w14:paraId="2591871D" w14:textId="77777777" w:rsidR="001C3A3A" w:rsidRDefault="001C3A3A" w:rsidP="001C3A3A">
      <w:pPr>
        <w:pStyle w:val="ListParagraph"/>
        <w:numPr>
          <w:ilvl w:val="0"/>
          <w:numId w:val="21"/>
        </w:numPr>
        <w:spacing w:after="120" w:line="240" w:lineRule="auto"/>
        <w:ind w:left="720"/>
        <w:rPr>
          <w:rFonts w:cstheme="minorHAnsi"/>
          <w:color w:val="000000" w:themeColor="text1"/>
          <w:sz w:val="22"/>
        </w:rPr>
      </w:pPr>
      <w:r>
        <w:rPr>
          <w:rFonts w:cstheme="minorHAnsi"/>
          <w:color w:val="000000" w:themeColor="text1"/>
          <w:sz w:val="22"/>
          <w:u w:val="single"/>
        </w:rPr>
        <w:t>License for high VM density</w:t>
      </w:r>
      <w:r>
        <w:rPr>
          <w:rFonts w:cstheme="minorHAnsi"/>
          <w:color w:val="000000" w:themeColor="text1"/>
          <w:sz w:val="22"/>
        </w:rPr>
        <w:t xml:space="preserve"> by buying EE core licenses and Software Assurance (SA) for all the physical cores on the server (or server farm) and deploying any number of VMs on the licensed hardware.  Without SA, VM density is limited to one VM per core with EE.</w:t>
      </w:r>
    </w:p>
    <w:p w14:paraId="5AF9240C" w14:textId="77777777" w:rsidR="001C3A3A" w:rsidRDefault="001C3A3A" w:rsidP="001C3A3A">
      <w:pPr>
        <w:pStyle w:val="ListParagraph"/>
        <w:numPr>
          <w:ilvl w:val="0"/>
          <w:numId w:val="21"/>
        </w:numPr>
        <w:spacing w:after="120" w:line="240" w:lineRule="auto"/>
        <w:ind w:left="720"/>
        <w:rPr>
          <w:rFonts w:cstheme="minorHAnsi"/>
          <w:color w:val="000000" w:themeColor="text1"/>
          <w:sz w:val="22"/>
        </w:rPr>
      </w:pPr>
      <w:r>
        <w:rPr>
          <w:rFonts w:cstheme="minorHAnsi"/>
          <w:color w:val="000000" w:themeColor="text1"/>
          <w:sz w:val="22"/>
          <w:u w:val="single"/>
        </w:rPr>
        <w:t>License for VM mobility</w:t>
      </w:r>
      <w:r>
        <w:rPr>
          <w:rFonts w:cstheme="minorHAnsi"/>
          <w:color w:val="000000" w:themeColor="text1"/>
          <w:sz w:val="22"/>
        </w:rPr>
        <w:t xml:space="preserve"> across private and public clouds.  VM license mobility is an SA benefit.  Without SA, licenses can be moved from one server to another only once every 90 days.  </w:t>
      </w:r>
    </w:p>
    <w:p w14:paraId="22E8C943" w14:textId="77777777" w:rsidR="001C3A3A" w:rsidRDefault="001C3A3A" w:rsidP="001C3A3A">
      <w:pPr>
        <w:pStyle w:val="NormalWeb"/>
        <w:spacing w:before="0" w:beforeAutospacing="0" w:after="120" w:afterAutospacing="0" w:line="240" w:lineRule="auto"/>
        <w:rPr>
          <w:rFonts w:asciiTheme="minorHAnsi" w:eastAsiaTheme="minorEastAsia" w:hAnsiTheme="minorHAnsi" w:cstheme="minorHAnsi"/>
          <w:color w:val="000000" w:themeColor="text1"/>
          <w:lang w:eastAsia="ko-KR"/>
        </w:rPr>
      </w:pPr>
    </w:p>
    <w:p w14:paraId="577DCE34" w14:textId="77777777" w:rsidR="001C3A3A" w:rsidRDefault="001C3A3A" w:rsidP="001C3A3A">
      <w:pPr>
        <w:pStyle w:val="Heading3"/>
        <w:numPr>
          <w:ilvl w:val="0"/>
          <w:numId w:val="17"/>
        </w:numPr>
        <w:spacing w:after="120" w:line="240" w:lineRule="auto"/>
        <w:rPr>
          <w:rFonts w:asciiTheme="majorHAnsi" w:hAnsiTheme="majorHAnsi"/>
          <w:color w:val="auto"/>
        </w:rPr>
      </w:pPr>
      <w:bookmarkStart w:id="10" w:name="_Toc308001344"/>
      <w:r>
        <w:t>Could you explain why you are making these changes?</w:t>
      </w:r>
      <w:bookmarkEnd w:id="10"/>
    </w:p>
    <w:p w14:paraId="105C89F1" w14:textId="77777777" w:rsidR="001C3A3A" w:rsidRDefault="001C3A3A" w:rsidP="001C3A3A">
      <w:pPr>
        <w:spacing w:after="120" w:line="240" w:lineRule="auto"/>
        <w:ind w:left="360"/>
        <w:rPr>
          <w:rFonts w:cstheme="minorHAnsi"/>
          <w:color w:val="000000" w:themeColor="text1"/>
          <w:sz w:val="22"/>
        </w:rPr>
      </w:pPr>
      <w:r>
        <w:rPr>
          <w:rFonts w:cstheme="minorHAnsi"/>
          <w:color w:val="000000" w:themeColor="text1"/>
          <w:sz w:val="22"/>
          <w:lang w:eastAsia="ko-KR"/>
        </w:rPr>
        <w:t>The changes to SQL Server licensing reflect the evolution of the database industry along with new hardware deployment practices.  Internal customer research with hundreds of customers has shown us that database customers are comfortable with core-based licensing and consider licensing by core simple and predictable.  There is also great enthusiasm for our virtualization and cloud-friendly licensing to help customers save money as their deployment practices evolve.  With these changes, we will continue to offer industry leading TCO.</w:t>
      </w:r>
    </w:p>
    <w:p w14:paraId="4924AF5A" w14:textId="77777777" w:rsidR="001C3A3A" w:rsidRDefault="001C3A3A" w:rsidP="001C3A3A">
      <w:pPr>
        <w:spacing w:after="120" w:line="240" w:lineRule="auto"/>
        <w:rPr>
          <w:rFonts w:cstheme="minorHAnsi"/>
          <w:b/>
          <w:color w:val="000000" w:themeColor="text1"/>
          <w:sz w:val="24"/>
          <w:szCs w:val="24"/>
        </w:rPr>
      </w:pPr>
    </w:p>
    <w:p w14:paraId="1F67F081" w14:textId="77777777" w:rsidR="001C3A3A" w:rsidRDefault="001C3A3A" w:rsidP="001C3A3A">
      <w:pPr>
        <w:pStyle w:val="Heading3"/>
        <w:numPr>
          <w:ilvl w:val="0"/>
          <w:numId w:val="17"/>
        </w:numPr>
        <w:spacing w:after="120" w:line="240" w:lineRule="auto"/>
        <w:rPr>
          <w:b/>
          <w:color w:val="auto"/>
          <w:sz w:val="22"/>
        </w:rPr>
      </w:pPr>
      <w:bookmarkStart w:id="11" w:name="_Toc308001345"/>
      <w:r>
        <w:t>Will other Microsoft products move to core-based licensing as well?</w:t>
      </w:r>
      <w:bookmarkEnd w:id="11"/>
      <w:r>
        <w:t xml:space="preserve"> </w:t>
      </w:r>
    </w:p>
    <w:p w14:paraId="71825269" w14:textId="77777777" w:rsidR="001C3A3A" w:rsidRDefault="001C3A3A" w:rsidP="001C3A3A">
      <w:pPr>
        <w:spacing w:after="120" w:line="240" w:lineRule="auto"/>
        <w:ind w:left="360"/>
        <w:rPr>
          <w:rFonts w:cstheme="minorHAnsi"/>
          <w:b/>
          <w:color w:val="000000" w:themeColor="text1"/>
          <w:sz w:val="22"/>
        </w:rPr>
      </w:pPr>
      <w:r>
        <w:rPr>
          <w:rFonts w:cstheme="minorHAnsi"/>
          <w:color w:val="000000" w:themeColor="text1"/>
          <w:sz w:val="22"/>
        </w:rPr>
        <w:t xml:space="preserve">We have put in place licensing models that are appropriate for the products based on industry and customer needs. The changes to SQL Server licensing are based on trends in the database industry and were developed with just the database business in mind.  </w:t>
      </w:r>
    </w:p>
    <w:p w14:paraId="2FA08646" w14:textId="77777777" w:rsidR="001C3A3A" w:rsidRDefault="001C3A3A" w:rsidP="001C3A3A">
      <w:pPr>
        <w:spacing w:after="120" w:line="240" w:lineRule="auto"/>
        <w:rPr>
          <w:rFonts w:cstheme="minorHAnsi"/>
          <w:color w:val="000000" w:themeColor="text1"/>
          <w:sz w:val="22"/>
        </w:rPr>
      </w:pPr>
    </w:p>
    <w:p w14:paraId="3C4BF649" w14:textId="77777777" w:rsidR="001C3A3A" w:rsidRDefault="001C3A3A" w:rsidP="001C3A3A">
      <w:pPr>
        <w:pStyle w:val="Heading3"/>
        <w:numPr>
          <w:ilvl w:val="0"/>
          <w:numId w:val="17"/>
        </w:numPr>
        <w:spacing w:after="120" w:line="240" w:lineRule="auto"/>
        <w:rPr>
          <w:rFonts w:asciiTheme="minorHAnsi" w:hAnsiTheme="minorHAnsi" w:cstheme="minorHAnsi"/>
          <w:color w:val="auto"/>
          <w:sz w:val="22"/>
        </w:rPr>
      </w:pPr>
      <w:bookmarkStart w:id="12" w:name="_Toc307993909"/>
      <w:bookmarkStart w:id="13" w:name="_Toc307993910"/>
      <w:bookmarkStart w:id="14" w:name="_Toc307993911"/>
      <w:bookmarkStart w:id="15" w:name="_Toc307993912"/>
      <w:bookmarkStart w:id="16" w:name="_Toc307993913"/>
      <w:bookmarkStart w:id="17" w:name="_Toc307993914"/>
      <w:bookmarkStart w:id="18" w:name="_Toc307993915"/>
      <w:bookmarkStart w:id="19" w:name="_Toc307993916"/>
      <w:bookmarkStart w:id="20" w:name="_Toc307993917"/>
      <w:bookmarkStart w:id="21" w:name="_Toc307993918"/>
      <w:bookmarkStart w:id="22" w:name="_Toc307993919"/>
      <w:bookmarkStart w:id="23" w:name="_Toc307993920"/>
      <w:bookmarkStart w:id="24" w:name="_Toc307993921"/>
      <w:bookmarkStart w:id="25" w:name="_Toc307993922"/>
      <w:bookmarkStart w:id="26" w:name="_Toc307993923"/>
      <w:bookmarkStart w:id="27" w:name="_Toc307993924"/>
      <w:bookmarkStart w:id="28" w:name="_Toc307993925"/>
      <w:bookmarkStart w:id="29" w:name="_Toc307993926"/>
      <w:bookmarkStart w:id="30" w:name="_Toc307993927"/>
      <w:bookmarkStart w:id="31" w:name="_Toc307993928"/>
      <w:bookmarkStart w:id="32" w:name="_Toc307993929"/>
      <w:bookmarkStart w:id="33" w:name="_Toc30800134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Pr>
          <w:rFonts w:asciiTheme="minorHAnsi" w:hAnsiTheme="minorHAnsi" w:cstheme="minorHAnsi"/>
        </w:rPr>
        <w:t>Will the licensing changes be accompanied by an increase in pricing?</w:t>
      </w:r>
      <w:bookmarkEnd w:id="33"/>
    </w:p>
    <w:p w14:paraId="4934139A" w14:textId="77777777" w:rsidR="001C3A3A" w:rsidRDefault="001C3A3A" w:rsidP="001C3A3A">
      <w:pPr>
        <w:spacing w:after="120" w:line="240" w:lineRule="auto"/>
        <w:ind w:left="360"/>
        <w:rPr>
          <w:rFonts w:cstheme="minorHAnsi"/>
          <w:sz w:val="22"/>
        </w:rPr>
      </w:pPr>
      <w:r>
        <w:rPr>
          <w:rFonts w:eastAsiaTheme="minorHAnsi" w:cstheme="minorHAnsi"/>
          <w:sz w:val="22"/>
        </w:rPr>
        <w:t>With SQL Server 2012, we are delivering a more powerful Enterprise Edition and a new B</w:t>
      </w:r>
      <w:r>
        <w:rPr>
          <w:rFonts w:cstheme="minorHAnsi"/>
          <w:sz w:val="22"/>
        </w:rPr>
        <w:t xml:space="preserve">usiness </w:t>
      </w:r>
      <w:r>
        <w:rPr>
          <w:rFonts w:eastAsiaTheme="minorHAnsi" w:cstheme="minorHAnsi"/>
          <w:sz w:val="22"/>
        </w:rPr>
        <w:t>I</w:t>
      </w:r>
      <w:r>
        <w:rPr>
          <w:rFonts w:cstheme="minorHAnsi"/>
          <w:sz w:val="22"/>
        </w:rPr>
        <w:t>ntelligence</w:t>
      </w:r>
      <w:r>
        <w:rPr>
          <w:rFonts w:eastAsiaTheme="minorHAnsi" w:cstheme="minorHAnsi"/>
          <w:sz w:val="22"/>
        </w:rPr>
        <w:t xml:space="preserve"> Edition with innovative features.  SQL Server customers who benefit from the new capabilities and who deploy mission critical databases will likely pay more, though we will continue to be the industry TCO leader.</w:t>
      </w:r>
    </w:p>
    <w:p w14:paraId="6DE0E6EA" w14:textId="77777777" w:rsidR="001C3A3A" w:rsidRDefault="001C3A3A" w:rsidP="001C3A3A">
      <w:pPr>
        <w:spacing w:after="120" w:line="240" w:lineRule="auto"/>
        <w:ind w:left="360"/>
        <w:rPr>
          <w:rFonts w:cstheme="minorHAnsi"/>
          <w:sz w:val="22"/>
        </w:rPr>
      </w:pPr>
      <w:r>
        <w:rPr>
          <w:rFonts w:eastAsiaTheme="minorHAnsi" w:cstheme="minorHAnsi"/>
          <w:sz w:val="22"/>
        </w:rPr>
        <w:lastRenderedPageBreak/>
        <w:t xml:space="preserve">At the same time, we are offering licensing benefits and flexibility to help customers save money and control costs with virtualization and consolidation.  The net price impact to individual customers will vary based on how they deploy SQL Server 2012, their current capacity and their future needs.  </w:t>
      </w:r>
    </w:p>
    <w:p w14:paraId="68079564" w14:textId="77777777" w:rsidR="001C3A3A" w:rsidRDefault="001C3A3A" w:rsidP="001C3A3A">
      <w:pPr>
        <w:spacing w:after="120" w:line="240" w:lineRule="auto"/>
        <w:ind w:left="360"/>
        <w:rPr>
          <w:rFonts w:eastAsiaTheme="minorHAnsi" w:cstheme="minorHAnsi"/>
          <w:sz w:val="22"/>
        </w:rPr>
      </w:pPr>
      <w:r>
        <w:rPr>
          <w:rFonts w:eastAsiaTheme="minorHAnsi" w:cstheme="minorHAnsi"/>
          <w:sz w:val="22"/>
        </w:rPr>
        <w:t xml:space="preserve">We have been actively engaged in conversations directly with our customers and partners to </w:t>
      </w:r>
      <w:r>
        <w:rPr>
          <w:rFonts w:cstheme="minorHAnsi"/>
          <w:sz w:val="22"/>
        </w:rPr>
        <w:t xml:space="preserve">ensure </w:t>
      </w:r>
      <w:r>
        <w:rPr>
          <w:rFonts w:eastAsiaTheme="minorHAnsi" w:cstheme="minorHAnsi"/>
          <w:sz w:val="22"/>
        </w:rPr>
        <w:t>that they know how these changes may impact them.</w:t>
      </w:r>
    </w:p>
    <w:p w14:paraId="05FB1D3C" w14:textId="77777777" w:rsidR="001C3A3A" w:rsidRDefault="001C3A3A" w:rsidP="001C3A3A">
      <w:pPr>
        <w:spacing w:after="120" w:line="240" w:lineRule="auto"/>
        <w:rPr>
          <w:rFonts w:cstheme="minorHAnsi"/>
          <w:sz w:val="22"/>
        </w:rPr>
      </w:pPr>
    </w:p>
    <w:p w14:paraId="0D9D3C99" w14:textId="77777777" w:rsidR="001C3A3A" w:rsidRDefault="001C3A3A" w:rsidP="001C3A3A">
      <w:pPr>
        <w:pStyle w:val="Heading3"/>
        <w:numPr>
          <w:ilvl w:val="0"/>
          <w:numId w:val="17"/>
        </w:numPr>
        <w:spacing w:after="120" w:line="240" w:lineRule="auto"/>
        <w:rPr>
          <w:sz w:val="22"/>
        </w:rPr>
      </w:pPr>
      <w:bookmarkStart w:id="34" w:name="_Toc307993931"/>
      <w:bookmarkStart w:id="35" w:name="_Toc307993932"/>
      <w:bookmarkStart w:id="36" w:name="_Toc307993933"/>
      <w:bookmarkStart w:id="37" w:name="_Toc307993934"/>
      <w:bookmarkStart w:id="38" w:name="_Toc307993935"/>
      <w:bookmarkStart w:id="39" w:name="_Toc307993936"/>
      <w:bookmarkStart w:id="40" w:name="_Toc307993937"/>
      <w:bookmarkStart w:id="41" w:name="_Toc307993938"/>
      <w:bookmarkStart w:id="42" w:name="_Toc307993939"/>
      <w:bookmarkStart w:id="43" w:name="_Toc307993940"/>
      <w:bookmarkStart w:id="44" w:name="_Toc307993941"/>
      <w:bookmarkStart w:id="45" w:name="_Toc307993942"/>
      <w:bookmarkStart w:id="46" w:name="_Toc307993943"/>
      <w:bookmarkStart w:id="47" w:name="_Toc307993944"/>
      <w:bookmarkStart w:id="48" w:name="_Toc307993945"/>
      <w:bookmarkStart w:id="49" w:name="_Toc307993946"/>
      <w:bookmarkStart w:id="50" w:name="_Toc307993947"/>
      <w:bookmarkStart w:id="51" w:name="_Toc307993948"/>
      <w:bookmarkStart w:id="52" w:name="_Toc307993949"/>
      <w:bookmarkStart w:id="53" w:name="_Toc307993950"/>
      <w:bookmarkStart w:id="54" w:name="_Toc308001347"/>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t>Can I buy core-based licensing for the Business Intelligence edition?</w:t>
      </w:r>
      <w:bookmarkEnd w:id="54"/>
    </w:p>
    <w:p w14:paraId="642A7D17" w14:textId="77777777" w:rsidR="001C3A3A" w:rsidRDefault="001C3A3A" w:rsidP="001C3A3A">
      <w:pPr>
        <w:spacing w:after="120" w:line="240" w:lineRule="auto"/>
        <w:ind w:left="360"/>
        <w:rPr>
          <w:rFonts w:cstheme="minorHAnsi"/>
          <w:color w:val="000000" w:themeColor="text1"/>
          <w:sz w:val="22"/>
        </w:rPr>
      </w:pPr>
      <w:r>
        <w:rPr>
          <w:rFonts w:cstheme="minorHAnsi"/>
          <w:color w:val="000000" w:themeColor="text1"/>
          <w:sz w:val="22"/>
        </w:rPr>
        <w:t>Enterprise Edition includes the full capabilities of SQL Server 2012, so a customer who wants to license a BI Server on a per core basis can do so by buying Enterprise Edition.  Enterprise Edition will be the preferred way to license advanced SQL Server BI capabilities when users are uncountable (e.g., external facing workloads) or when there is a very large number of users.</w:t>
      </w:r>
    </w:p>
    <w:p w14:paraId="4D0DCE72" w14:textId="77777777" w:rsidR="001C3A3A" w:rsidRDefault="001C3A3A" w:rsidP="001C3A3A">
      <w:pPr>
        <w:spacing w:after="120" w:line="240" w:lineRule="auto"/>
        <w:rPr>
          <w:rFonts w:cstheme="minorHAnsi"/>
          <w:color w:val="000000" w:themeColor="text1"/>
          <w:sz w:val="22"/>
        </w:rPr>
      </w:pPr>
    </w:p>
    <w:p w14:paraId="25B5C541" w14:textId="77777777" w:rsidR="001C3A3A" w:rsidRDefault="001C3A3A" w:rsidP="001C3A3A">
      <w:pPr>
        <w:pStyle w:val="Heading3"/>
        <w:numPr>
          <w:ilvl w:val="0"/>
          <w:numId w:val="17"/>
        </w:numPr>
        <w:spacing w:after="120" w:line="240" w:lineRule="auto"/>
        <w:rPr>
          <w:color w:val="auto"/>
          <w:sz w:val="22"/>
        </w:rPr>
      </w:pPr>
      <w:bookmarkStart w:id="55" w:name="_Toc308001348"/>
      <w:r>
        <w:t>Can I use the same CAL for the Business Intelligence and Standard editions?</w:t>
      </w:r>
      <w:bookmarkEnd w:id="55"/>
    </w:p>
    <w:p w14:paraId="495D2049" w14:textId="77777777" w:rsidR="001C3A3A" w:rsidRDefault="001C3A3A" w:rsidP="001C3A3A">
      <w:pPr>
        <w:spacing w:after="120" w:line="240" w:lineRule="auto"/>
        <w:ind w:left="360"/>
        <w:rPr>
          <w:rFonts w:cstheme="minorHAnsi"/>
          <w:color w:val="000000" w:themeColor="text1"/>
          <w:sz w:val="22"/>
        </w:rPr>
      </w:pPr>
      <w:r>
        <w:rPr>
          <w:rFonts w:cstheme="minorHAnsi"/>
          <w:color w:val="000000" w:themeColor="text1"/>
          <w:sz w:val="22"/>
        </w:rPr>
        <w:t>Yes, as with prior releases, there is a single CAL for SQL Server 2012 for access to all the server editions.</w:t>
      </w:r>
    </w:p>
    <w:p w14:paraId="14AC69E9" w14:textId="77777777" w:rsidR="001C3A3A" w:rsidRDefault="001C3A3A" w:rsidP="001C3A3A">
      <w:pPr>
        <w:spacing w:after="120" w:line="240" w:lineRule="auto"/>
        <w:rPr>
          <w:rFonts w:cstheme="minorHAnsi"/>
          <w:color w:val="000000" w:themeColor="text1"/>
          <w:sz w:val="22"/>
        </w:rPr>
      </w:pPr>
    </w:p>
    <w:p w14:paraId="3567DDDF" w14:textId="77777777" w:rsidR="001C3A3A" w:rsidRDefault="001C3A3A" w:rsidP="001C3A3A">
      <w:pPr>
        <w:pStyle w:val="Heading3"/>
        <w:numPr>
          <w:ilvl w:val="0"/>
          <w:numId w:val="17"/>
        </w:numPr>
        <w:spacing w:after="120" w:line="240" w:lineRule="auto"/>
        <w:rPr>
          <w:color w:val="auto"/>
          <w:sz w:val="22"/>
        </w:rPr>
      </w:pPr>
      <w:bookmarkStart w:id="56" w:name="_Toc308001349"/>
      <w:r>
        <w:t>I have Software Assurance, do I have to pay more to upgrade to SQL Server 2012?</w:t>
      </w:r>
      <w:bookmarkEnd w:id="56"/>
    </w:p>
    <w:p w14:paraId="6CB77FC3" w14:textId="77777777" w:rsidR="001C3A3A" w:rsidRDefault="001C3A3A" w:rsidP="001C3A3A">
      <w:pPr>
        <w:spacing w:after="120" w:line="240" w:lineRule="auto"/>
        <w:ind w:left="360"/>
        <w:rPr>
          <w:rFonts w:cstheme="minorHAnsi"/>
          <w:color w:val="000000" w:themeColor="text1"/>
          <w:sz w:val="22"/>
        </w:rPr>
      </w:pPr>
      <w:r>
        <w:rPr>
          <w:rFonts w:cstheme="minorHAnsi"/>
          <w:color w:val="000000" w:themeColor="text1"/>
          <w:sz w:val="22"/>
        </w:rPr>
        <w:t>No. All licenses under SA will be able to upgrade to SQL Server 2012 at no additional cost.</w:t>
      </w:r>
    </w:p>
    <w:p w14:paraId="56AD4E2E" w14:textId="77777777" w:rsidR="001C3A3A" w:rsidRDefault="001C3A3A" w:rsidP="001C3A3A">
      <w:pPr>
        <w:spacing w:after="120" w:line="240" w:lineRule="auto"/>
        <w:rPr>
          <w:rFonts w:cstheme="minorHAnsi"/>
          <w:color w:val="000000" w:themeColor="text1"/>
          <w:sz w:val="22"/>
        </w:rPr>
      </w:pPr>
    </w:p>
    <w:p w14:paraId="519D1BBE" w14:textId="77777777" w:rsidR="001C3A3A" w:rsidRDefault="001C3A3A" w:rsidP="001C3A3A">
      <w:pPr>
        <w:pStyle w:val="Heading3"/>
        <w:numPr>
          <w:ilvl w:val="0"/>
          <w:numId w:val="17"/>
        </w:numPr>
        <w:spacing w:after="120" w:line="240" w:lineRule="auto"/>
        <w:rPr>
          <w:color w:val="auto"/>
          <w:sz w:val="22"/>
        </w:rPr>
      </w:pPr>
      <w:bookmarkStart w:id="57" w:name="_Toc308001350"/>
      <w:r>
        <w:t>I recently signed up for an Enterprise Agreement (EA)/Enrollment for Application Platform (EAP).  What do these changes mean for me?</w:t>
      </w:r>
      <w:bookmarkEnd w:id="57"/>
      <w:r>
        <w:t xml:space="preserve"> </w:t>
      </w:r>
    </w:p>
    <w:p w14:paraId="133E2A7B" w14:textId="77777777" w:rsidR="001C3A3A" w:rsidRDefault="001C3A3A" w:rsidP="001C3A3A">
      <w:pPr>
        <w:spacing w:after="120" w:line="240" w:lineRule="auto"/>
        <w:ind w:left="360"/>
        <w:rPr>
          <w:rFonts w:cstheme="minorHAnsi"/>
          <w:color w:val="000000" w:themeColor="text1"/>
          <w:sz w:val="22"/>
        </w:rPr>
      </w:pPr>
      <w:r>
        <w:rPr>
          <w:rFonts w:cstheme="minorHAnsi"/>
          <w:color w:val="000000" w:themeColor="text1"/>
          <w:sz w:val="22"/>
        </w:rPr>
        <w:t xml:space="preserve">EA and EAP remain the best ways for customers to license SQL Server.  EA and EAP offer extended transitions to help you plan for the new licensing model.  Furthermore, EAP offers significant discounts to help you take advantage of the lowest TCO.  </w:t>
      </w:r>
    </w:p>
    <w:p w14:paraId="52F07E15" w14:textId="77777777" w:rsidR="001C3A3A" w:rsidRDefault="001C3A3A" w:rsidP="001C3A3A">
      <w:pPr>
        <w:spacing w:after="120" w:line="240" w:lineRule="auto"/>
        <w:ind w:left="360"/>
        <w:rPr>
          <w:rFonts w:cstheme="minorHAnsi"/>
          <w:color w:val="000000" w:themeColor="text1"/>
          <w:sz w:val="22"/>
        </w:rPr>
      </w:pPr>
    </w:p>
    <w:p w14:paraId="6F21DDD1" w14:textId="77777777" w:rsidR="001C3A3A" w:rsidRDefault="001C3A3A" w:rsidP="001C3A3A">
      <w:pPr>
        <w:pStyle w:val="Heading3"/>
        <w:numPr>
          <w:ilvl w:val="0"/>
          <w:numId w:val="17"/>
        </w:numPr>
        <w:spacing w:after="120" w:line="240" w:lineRule="auto"/>
        <w:rPr>
          <w:color w:val="auto"/>
          <w:sz w:val="22"/>
        </w:rPr>
      </w:pPr>
      <w:bookmarkStart w:id="58" w:name="_Toc308001351"/>
      <w:r>
        <w:t>How do I migrate from processor licenses to core licenses?  What is the migration path?</w:t>
      </w:r>
      <w:bookmarkEnd w:id="58"/>
    </w:p>
    <w:p w14:paraId="0147943D" w14:textId="77777777" w:rsidR="001C3A3A" w:rsidRDefault="001C3A3A" w:rsidP="001C3A3A">
      <w:pPr>
        <w:spacing w:after="120" w:line="240" w:lineRule="auto"/>
        <w:ind w:left="360"/>
        <w:rPr>
          <w:rFonts w:cstheme="minorHAnsi"/>
          <w:color w:val="000000" w:themeColor="text1"/>
          <w:sz w:val="22"/>
        </w:rPr>
      </w:pPr>
      <w:r>
        <w:rPr>
          <w:rFonts w:cstheme="minorHAnsi"/>
          <w:color w:val="000000" w:themeColor="text1"/>
          <w:sz w:val="22"/>
        </w:rPr>
        <w:t>Licenses purchased with Software Assurance (SA) will upgrade to SQL Server 2012 at no additional cost.  EA/EAP customers can continue buying processor licenses until your next renewal after April 1</w:t>
      </w:r>
      <w:r>
        <w:rPr>
          <w:rFonts w:cstheme="minorHAnsi"/>
          <w:color w:val="000000" w:themeColor="text1"/>
          <w:sz w:val="22"/>
          <w:vertAlign w:val="superscript"/>
        </w:rPr>
        <w:t>st</w:t>
      </w:r>
      <w:r>
        <w:rPr>
          <w:rFonts w:cstheme="minorHAnsi"/>
          <w:color w:val="000000" w:themeColor="text1"/>
          <w:sz w:val="22"/>
        </w:rPr>
        <w:t>, 2012.  At the next renewal, processor licenses will be eligible to be renewed into core-based licenses sufficient to cover the cores in use by the processor-licensed databases (minimum of 4 cores per processor for Standard and Enterprise, and minimum of 8 Enterprise cores per processor for Datacenter).</w:t>
      </w:r>
    </w:p>
    <w:p w14:paraId="320E9EA2" w14:textId="77777777" w:rsidR="001C3A3A" w:rsidRDefault="001C3A3A" w:rsidP="001C3A3A">
      <w:pPr>
        <w:spacing w:after="120" w:line="240" w:lineRule="auto"/>
        <w:ind w:left="360"/>
        <w:rPr>
          <w:rFonts w:cstheme="minorHAnsi"/>
          <w:color w:val="000000" w:themeColor="text1"/>
          <w:sz w:val="22"/>
        </w:rPr>
      </w:pPr>
    </w:p>
    <w:p w14:paraId="75E888B6" w14:textId="77777777" w:rsidR="001C3A3A" w:rsidRDefault="001C3A3A" w:rsidP="001C3A3A">
      <w:pPr>
        <w:pStyle w:val="Heading3"/>
        <w:numPr>
          <w:ilvl w:val="0"/>
          <w:numId w:val="17"/>
        </w:numPr>
        <w:spacing w:after="120" w:line="240" w:lineRule="auto"/>
        <w:rPr>
          <w:color w:val="auto"/>
          <w:sz w:val="22"/>
        </w:rPr>
      </w:pPr>
      <w:bookmarkStart w:id="59" w:name="_Toc308001352"/>
      <w:r>
        <w:lastRenderedPageBreak/>
        <w:t>How will SQL Server processor licenses with SA be exchanged for SQL Server 2012 core licenses? How will I (and Microsoft) determine the number of cores that I am owed?</w:t>
      </w:r>
      <w:bookmarkEnd w:id="59"/>
      <w:r>
        <w:t xml:space="preserve"> </w:t>
      </w:r>
    </w:p>
    <w:p w14:paraId="74D1ADFB" w14:textId="77777777" w:rsidR="001C3A3A" w:rsidRDefault="001C3A3A" w:rsidP="001C3A3A">
      <w:pPr>
        <w:spacing w:after="120" w:line="240" w:lineRule="auto"/>
        <w:ind w:left="360"/>
        <w:rPr>
          <w:rFonts w:cstheme="minorHAnsi"/>
          <w:color w:val="000000" w:themeColor="text1"/>
          <w:sz w:val="22"/>
        </w:rPr>
      </w:pPr>
      <w:r>
        <w:rPr>
          <w:rFonts w:cstheme="minorHAnsi"/>
          <w:color w:val="000000" w:themeColor="text1"/>
          <w:sz w:val="22"/>
        </w:rPr>
        <w:t>You can perform a “self-inventory” of your environment at the end of your Software Assurance (SA) term that will provide the basis for your long term SQL Server 2012 use rights and eligibility for renewal into core licenses.  We will provide access to the Microsoft Assessment and Planning (MAP) Toolkit as one way to help track and document deployments.  This tool can help you plan the transition from processor-based licenses to core-based licenses by counting both processors and cores across your deployments.  If you are not able to document your SQL Server deployments, then your processors will be worth the standard conversion ratio by edition.  We encourage you to work with your Microsoft or Partner representative to determine an optimal transition plan.</w:t>
      </w:r>
    </w:p>
    <w:p w14:paraId="73AECB18" w14:textId="77777777" w:rsidR="001C3A3A" w:rsidRDefault="001C3A3A" w:rsidP="001C3A3A">
      <w:pPr>
        <w:pStyle w:val="Body"/>
        <w:spacing w:line="276" w:lineRule="auto"/>
        <w:rPr>
          <w:sz w:val="18"/>
          <w:szCs w:val="16"/>
        </w:rPr>
      </w:pPr>
    </w:p>
    <w:p w14:paraId="29877E42" w14:textId="77777777" w:rsidR="001C3A3A" w:rsidRDefault="001C3A3A" w:rsidP="001C3A3A">
      <w:pPr>
        <w:pStyle w:val="Body"/>
        <w:spacing w:line="276" w:lineRule="auto"/>
        <w:rPr>
          <w:sz w:val="18"/>
          <w:szCs w:val="16"/>
        </w:rPr>
      </w:pPr>
    </w:p>
    <w:p w14:paraId="4E0367B8" w14:textId="77777777" w:rsidR="001C3A3A" w:rsidRPr="001C3A3A" w:rsidRDefault="001C3A3A" w:rsidP="001C3A3A">
      <w:pPr>
        <w:pStyle w:val="Body"/>
        <w:spacing w:line="276" w:lineRule="auto"/>
        <w:rPr>
          <w:sz w:val="18"/>
          <w:szCs w:val="16"/>
        </w:rPr>
      </w:pPr>
    </w:p>
    <w:sectPr w:rsidR="001C3A3A" w:rsidRPr="001C3A3A" w:rsidSect="00E94507">
      <w:type w:val="continuous"/>
      <w:pgSz w:w="12240" w:h="15840" w:code="1"/>
      <w:pgMar w:top="1260" w:right="720" w:bottom="1440" w:left="720" w:header="1008" w:footer="432" w:gutter="0"/>
      <w:cols w:space="27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D039B" w14:textId="77777777" w:rsidR="0018354B" w:rsidRDefault="0018354B" w:rsidP="00AB245C">
      <w:r>
        <w:separator/>
      </w:r>
    </w:p>
  </w:endnote>
  <w:endnote w:type="continuationSeparator" w:id="0">
    <w:p w14:paraId="67B1068A" w14:textId="77777777" w:rsidR="0018354B" w:rsidRDefault="0018354B" w:rsidP="00AB2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Segoe Condensed">
    <w:altName w:val="Franklin Gothic Medium Cond"/>
    <w:panose1 w:val="020B0506040504020203"/>
    <w:charset w:val="00"/>
    <w:family w:val="swiss"/>
    <w:pitch w:val="variable"/>
    <w:sig w:usb0="A00002AF" w:usb1="4000205B" w:usb2="00000000" w:usb3="00000000" w:csb0="0000009F" w:csb1="00000000"/>
  </w:font>
  <w:font w:name="Segoe UI Light">
    <w:panose1 w:val="020B0502040204020203"/>
    <w:charset w:val="00"/>
    <w:family w:val="swiss"/>
    <w:pitch w:val="variable"/>
    <w:sig w:usb0="E00002FF" w:usb1="4000A47B" w:usb2="00000001" w:usb3="00000000" w:csb0="0000019F" w:csb1="00000000"/>
  </w:font>
  <w:font w:name="Segoe UI Semibold">
    <w:panose1 w:val="020B0702040204020203"/>
    <w:charset w:val="00"/>
    <w:family w:val="swiss"/>
    <w:pitch w:val="variable"/>
    <w:sig w:usb0="E00002FF" w:usb1="4000A47B" w:usb2="00000001"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w:altName w:val="Times New Roman"/>
    <w:panose1 w:val="020B0502040504020203"/>
    <w:charset w:val="00"/>
    <w:family w:val="swiss"/>
    <w:pitch w:val="variable"/>
    <w:sig w:usb0="A00002AF" w:usb1="4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561587"/>
      <w:docPartObj>
        <w:docPartGallery w:val="Page Numbers (Bottom of Page)"/>
        <w:docPartUnique/>
      </w:docPartObj>
    </w:sdtPr>
    <w:sdtEndPr>
      <w:rPr>
        <w:noProof/>
      </w:rPr>
    </w:sdtEndPr>
    <w:sdtContent>
      <w:p w14:paraId="77E31B05" w14:textId="77777777" w:rsidR="00EE7C45" w:rsidRDefault="001B285D">
        <w:pPr>
          <w:pStyle w:val="Footer"/>
        </w:pPr>
        <w:r>
          <w:fldChar w:fldCharType="begin"/>
        </w:r>
        <w:r>
          <w:instrText xml:space="preserve"> PAGE   \* MERGEFORMAT </w:instrText>
        </w:r>
        <w:r>
          <w:fldChar w:fldCharType="separate"/>
        </w:r>
        <w:r w:rsidR="00834D56">
          <w:rPr>
            <w:noProof/>
          </w:rPr>
          <w:t>6</w:t>
        </w:r>
        <w:r>
          <w:rPr>
            <w:noProof/>
          </w:rPr>
          <w:fldChar w:fldCharType="end"/>
        </w:r>
      </w:p>
    </w:sdtContent>
  </w:sdt>
  <w:p w14:paraId="5E90819B" w14:textId="77777777" w:rsidR="00EE7C45" w:rsidRDefault="00EE7C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456014"/>
      <w:docPartObj>
        <w:docPartGallery w:val="Page Numbers (Bottom of Page)"/>
        <w:docPartUnique/>
      </w:docPartObj>
    </w:sdtPr>
    <w:sdtEndPr>
      <w:rPr>
        <w:noProof/>
      </w:rPr>
    </w:sdtEndPr>
    <w:sdtContent>
      <w:p w14:paraId="368543CB" w14:textId="77777777" w:rsidR="00EE7C45" w:rsidRDefault="001B285D" w:rsidP="00286485">
        <w:pPr>
          <w:pStyle w:val="Footer"/>
        </w:pPr>
        <w:r>
          <w:fldChar w:fldCharType="begin"/>
        </w:r>
        <w:r>
          <w:instrText xml:space="preserve"> PAGE   \* MERGEFORMAT </w:instrText>
        </w:r>
        <w:r>
          <w:fldChar w:fldCharType="separate"/>
        </w:r>
        <w:r w:rsidR="0018749B">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B217F" w14:textId="77777777" w:rsidR="0018354B" w:rsidRDefault="0018354B" w:rsidP="00AB245C">
      <w:r>
        <w:separator/>
      </w:r>
    </w:p>
  </w:footnote>
  <w:footnote w:type="continuationSeparator" w:id="0">
    <w:p w14:paraId="481884BC" w14:textId="77777777" w:rsidR="0018354B" w:rsidRDefault="0018354B" w:rsidP="00AB24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6AF7F" w14:textId="77777777" w:rsidR="00EE7C45" w:rsidRDefault="00EE7C45" w:rsidP="00AB245C">
    <w:pPr>
      <w:pStyle w:val="Header"/>
    </w:pPr>
    <w:r>
      <w:rPr>
        <w:noProof/>
      </w:rPr>
      <w:drawing>
        <wp:anchor distT="0" distB="0" distL="114300" distR="114300" simplePos="0" relativeHeight="251665408" behindDoc="1" locked="0" layoutInCell="1" allowOverlap="1" wp14:anchorId="0450876E" wp14:editId="0450876F">
          <wp:simplePos x="0" y="0"/>
          <wp:positionH relativeFrom="column">
            <wp:posOffset>0</wp:posOffset>
          </wp:positionH>
          <wp:positionV relativeFrom="paragraph">
            <wp:posOffset>-315595</wp:posOffset>
          </wp:positionV>
          <wp:extent cx="1687830" cy="3460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Pictures\Logos\SQL Server Code Name Denali black.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87830" cy="346075"/>
                  </a:xfrm>
                  <a:prstGeom prst="rect">
                    <a:avLst/>
                  </a:prstGeom>
                  <a:noFill/>
                  <a:ln>
                    <a:noFill/>
                  </a:ln>
                </pic:spPr>
              </pic:pic>
            </a:graphicData>
          </a:graphic>
        </wp:anchor>
      </w:drawing>
    </w:r>
    <w:r>
      <w:rPr>
        <w:noProof/>
      </w:rPr>
      <w:drawing>
        <wp:anchor distT="0" distB="0" distL="114300" distR="114300" simplePos="0" relativeHeight="251666432" behindDoc="1" locked="0" layoutInCell="1" allowOverlap="1" wp14:anchorId="04508770" wp14:editId="04508771">
          <wp:simplePos x="0" y="0"/>
          <wp:positionH relativeFrom="column">
            <wp:posOffset>5743575</wp:posOffset>
          </wp:positionH>
          <wp:positionV relativeFrom="paragraph">
            <wp:posOffset>-240030</wp:posOffset>
          </wp:positionV>
          <wp:extent cx="1104900" cy="182308"/>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corporate Logo Black MS generic brand.png"/>
                  <pic:cNvPicPr/>
                </pic:nvPicPr>
                <pic:blipFill>
                  <a:blip r:embed="rId2">
                    <a:extLst>
                      <a:ext uri="{28A0092B-C50C-407E-A947-70E740481C1C}">
                        <a14:useLocalDpi xmlns:a14="http://schemas.microsoft.com/office/drawing/2010/main" val="0"/>
                      </a:ext>
                    </a:extLst>
                  </a:blip>
                  <a:stretch>
                    <a:fillRect/>
                  </a:stretch>
                </pic:blipFill>
                <pic:spPr>
                  <a:xfrm>
                    <a:off x="0" y="0"/>
                    <a:ext cx="1107671" cy="18276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800580"/>
      <w:docPartObj>
        <w:docPartGallery w:val="Page Numbers (Top of Page)"/>
        <w:docPartUnique/>
      </w:docPartObj>
    </w:sdtPr>
    <w:sdtEndPr>
      <w:rPr>
        <w:noProof/>
      </w:rPr>
    </w:sdtEndPr>
    <w:sdtContent>
      <w:p w14:paraId="357DC172" w14:textId="77777777" w:rsidR="00EE7C45" w:rsidRDefault="00EE7C45">
        <w:pPr>
          <w:pStyle w:val="Header"/>
        </w:pPr>
        <w:r>
          <w:rPr>
            <w:noProof/>
          </w:rPr>
          <w:drawing>
            <wp:anchor distT="0" distB="457200" distL="114300" distR="114300" simplePos="0" relativeHeight="251668480" behindDoc="1" locked="0" layoutInCell="1" allowOverlap="1" wp14:anchorId="04508772" wp14:editId="04508773">
              <wp:simplePos x="0" y="0"/>
              <wp:positionH relativeFrom="column">
                <wp:posOffset>-685800</wp:posOffset>
              </wp:positionH>
              <wp:positionV relativeFrom="paragraph">
                <wp:posOffset>-640080</wp:posOffset>
              </wp:positionV>
              <wp:extent cx="7785100" cy="3217545"/>
              <wp:effectExtent l="0" t="0" r="6350"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jpg"/>
                      <pic:cNvPicPr/>
                    </pic:nvPicPr>
                    <pic:blipFill>
                      <a:blip r:embed="rId1">
                        <a:extLst>
                          <a:ext uri="{28A0092B-C50C-407E-A947-70E740481C1C}">
                            <a14:useLocalDpi xmlns:a14="http://schemas.microsoft.com/office/drawing/2010/main" val="0"/>
                          </a:ext>
                        </a:extLst>
                      </a:blip>
                      <a:stretch>
                        <a:fillRect/>
                      </a:stretch>
                    </pic:blipFill>
                    <pic:spPr>
                      <a:xfrm>
                        <a:off x="0" y="0"/>
                        <a:ext cx="7785100" cy="3217545"/>
                      </a:xfrm>
                      <a:prstGeom prst="rect">
                        <a:avLst/>
                      </a:prstGeom>
                    </pic:spPr>
                  </pic:pic>
                </a:graphicData>
              </a:graphic>
            </wp:anchor>
          </w:drawing>
        </w:r>
      </w:p>
    </w:sdtContent>
  </w:sdt>
  <w:p w14:paraId="3472F4E0" w14:textId="77777777" w:rsidR="00EE7C45" w:rsidRDefault="00EE7C45" w:rsidP="00AB24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26D2F"/>
    <w:multiLevelType w:val="hybridMultilevel"/>
    <w:tmpl w:val="2F16D6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A81EC1"/>
    <w:multiLevelType w:val="hybridMultilevel"/>
    <w:tmpl w:val="9364F83A"/>
    <w:lvl w:ilvl="0" w:tplc="91784F70">
      <w:start w:val="1"/>
      <w:numFmt w:val="bullet"/>
      <w:pStyle w:val="VLBody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51A2AB0"/>
    <w:multiLevelType w:val="hybridMultilevel"/>
    <w:tmpl w:val="CA9688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16D10E79"/>
    <w:multiLevelType w:val="hybridMultilevel"/>
    <w:tmpl w:val="683672E8"/>
    <w:lvl w:ilvl="0" w:tplc="0784C5A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21DC27B5"/>
    <w:multiLevelType w:val="hybridMultilevel"/>
    <w:tmpl w:val="2F16D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457286"/>
    <w:multiLevelType w:val="hybridMultilevel"/>
    <w:tmpl w:val="412ED972"/>
    <w:lvl w:ilvl="0" w:tplc="4C92FC7C">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B7312C"/>
    <w:multiLevelType w:val="hybridMultilevel"/>
    <w:tmpl w:val="2F16D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412305"/>
    <w:multiLevelType w:val="hybridMultilevel"/>
    <w:tmpl w:val="5148B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A812694"/>
    <w:multiLevelType w:val="hybridMultilevel"/>
    <w:tmpl w:val="2F16D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A348EC"/>
    <w:multiLevelType w:val="hybridMultilevel"/>
    <w:tmpl w:val="AA8C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59B12D0"/>
    <w:multiLevelType w:val="hybridMultilevel"/>
    <w:tmpl w:val="AD6ECF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FD47AC"/>
    <w:multiLevelType w:val="hybridMultilevel"/>
    <w:tmpl w:val="2F16D67C"/>
    <w:lvl w:ilvl="0" w:tplc="0409000F">
      <w:start w:val="1"/>
      <w:numFmt w:val="decimal"/>
      <w:lvlText w:val="%1."/>
      <w:lvlJc w:val="left"/>
      <w:pPr>
        <w:ind w:left="522" w:hanging="360"/>
      </w:p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12">
    <w:nsid w:val="49D83435"/>
    <w:multiLevelType w:val="hybridMultilevel"/>
    <w:tmpl w:val="2F16D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CF1F92"/>
    <w:multiLevelType w:val="hybridMultilevel"/>
    <w:tmpl w:val="97E49F42"/>
    <w:lvl w:ilvl="0" w:tplc="4572AD7A">
      <w:start w:val="1"/>
      <w:numFmt w:val="decimal"/>
      <w:pStyle w:val="Li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875ADC"/>
    <w:multiLevelType w:val="hybridMultilevel"/>
    <w:tmpl w:val="75F840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8B2D88"/>
    <w:multiLevelType w:val="hybridMultilevel"/>
    <w:tmpl w:val="E56E63C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699672AC"/>
    <w:multiLevelType w:val="hybridMultilevel"/>
    <w:tmpl w:val="65D62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A11D8E"/>
    <w:multiLevelType w:val="hybridMultilevel"/>
    <w:tmpl w:val="BEAA2BAC"/>
    <w:lvl w:ilvl="0" w:tplc="4456FDDE">
      <w:start w:val="1"/>
      <w:numFmt w:val="decimal"/>
      <w:lvlText w:val="%1"/>
      <w:lvlJc w:val="left"/>
      <w:pPr>
        <w:ind w:left="720" w:hanging="360"/>
      </w:pPr>
      <w:rPr>
        <w:rFonts w:cstheme="minorBidi" w:hint="default"/>
        <w:b w:val="0"/>
        <w:color w:val="00000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1"/>
  </w:num>
  <w:num w:numId="4">
    <w:abstractNumId w:val="14"/>
  </w:num>
  <w:num w:numId="5">
    <w:abstractNumId w:val="10"/>
  </w:num>
  <w:num w:numId="6">
    <w:abstractNumId w:val="16"/>
  </w:num>
  <w:num w:numId="7">
    <w:abstractNumId w:val="4"/>
  </w:num>
  <w:num w:numId="8">
    <w:abstractNumId w:val="12"/>
  </w:num>
  <w:num w:numId="9">
    <w:abstractNumId w:val="6"/>
  </w:num>
  <w:num w:numId="10">
    <w:abstractNumId w:val="0"/>
  </w:num>
  <w:num w:numId="11">
    <w:abstractNumId w:val="11"/>
  </w:num>
  <w:num w:numId="12">
    <w:abstractNumId w:val="5"/>
  </w:num>
  <w:num w:numId="13">
    <w:abstractNumId w:val="5"/>
  </w:num>
  <w:num w:numId="14">
    <w:abstractNumId w:val="17"/>
  </w:num>
  <w:num w:numId="15">
    <w:abstractNumId w:val="8"/>
  </w:num>
  <w:num w:numId="16">
    <w:abstractNumId w:val="5"/>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9"/>
  </w:num>
  <w:num w:numId="20">
    <w:abstractNumId w:val="2"/>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64A"/>
    <w:rsid w:val="00010D61"/>
    <w:rsid w:val="00011D70"/>
    <w:rsid w:val="000212E0"/>
    <w:rsid w:val="00024C52"/>
    <w:rsid w:val="000257D3"/>
    <w:rsid w:val="000278DA"/>
    <w:rsid w:val="0003191D"/>
    <w:rsid w:val="00037EC3"/>
    <w:rsid w:val="00044ECA"/>
    <w:rsid w:val="00045893"/>
    <w:rsid w:val="000462AC"/>
    <w:rsid w:val="00047B8F"/>
    <w:rsid w:val="0005168F"/>
    <w:rsid w:val="00054B1F"/>
    <w:rsid w:val="00057278"/>
    <w:rsid w:val="00060975"/>
    <w:rsid w:val="00061118"/>
    <w:rsid w:val="000623A8"/>
    <w:rsid w:val="00066934"/>
    <w:rsid w:val="00072A78"/>
    <w:rsid w:val="000775F1"/>
    <w:rsid w:val="000859C5"/>
    <w:rsid w:val="0008726E"/>
    <w:rsid w:val="00090E43"/>
    <w:rsid w:val="000919F4"/>
    <w:rsid w:val="000A6018"/>
    <w:rsid w:val="000B3484"/>
    <w:rsid w:val="000C4567"/>
    <w:rsid w:val="000D12A2"/>
    <w:rsid w:val="000D233A"/>
    <w:rsid w:val="000E2308"/>
    <w:rsid w:val="000F314B"/>
    <w:rsid w:val="000F38AB"/>
    <w:rsid w:val="000F3F62"/>
    <w:rsid w:val="000F5125"/>
    <w:rsid w:val="00100D3A"/>
    <w:rsid w:val="00106091"/>
    <w:rsid w:val="00106134"/>
    <w:rsid w:val="00112336"/>
    <w:rsid w:val="00112779"/>
    <w:rsid w:val="0011607D"/>
    <w:rsid w:val="001244B8"/>
    <w:rsid w:val="00131293"/>
    <w:rsid w:val="00133464"/>
    <w:rsid w:val="001433B8"/>
    <w:rsid w:val="00143BD1"/>
    <w:rsid w:val="00145870"/>
    <w:rsid w:val="001557F7"/>
    <w:rsid w:val="00165A04"/>
    <w:rsid w:val="0017192F"/>
    <w:rsid w:val="00180219"/>
    <w:rsid w:val="00180B73"/>
    <w:rsid w:val="0018165A"/>
    <w:rsid w:val="0018354B"/>
    <w:rsid w:val="00184443"/>
    <w:rsid w:val="001861BA"/>
    <w:rsid w:val="001864A3"/>
    <w:rsid w:val="0018681A"/>
    <w:rsid w:val="00186D83"/>
    <w:rsid w:val="0018749B"/>
    <w:rsid w:val="001A14B8"/>
    <w:rsid w:val="001A1A02"/>
    <w:rsid w:val="001A2BC3"/>
    <w:rsid w:val="001A5402"/>
    <w:rsid w:val="001A58B4"/>
    <w:rsid w:val="001B1AA1"/>
    <w:rsid w:val="001B21A8"/>
    <w:rsid w:val="001B285D"/>
    <w:rsid w:val="001B646E"/>
    <w:rsid w:val="001B70C4"/>
    <w:rsid w:val="001C3A3A"/>
    <w:rsid w:val="001C743F"/>
    <w:rsid w:val="001D73A4"/>
    <w:rsid w:val="001E1C34"/>
    <w:rsid w:val="001E3D90"/>
    <w:rsid w:val="001E70D3"/>
    <w:rsid w:val="001F3C52"/>
    <w:rsid w:val="001F644D"/>
    <w:rsid w:val="00202712"/>
    <w:rsid w:val="00211DE6"/>
    <w:rsid w:val="0021348E"/>
    <w:rsid w:val="00217DA6"/>
    <w:rsid w:val="00220D9F"/>
    <w:rsid w:val="00223F46"/>
    <w:rsid w:val="002246DD"/>
    <w:rsid w:val="00225BF2"/>
    <w:rsid w:val="00230B57"/>
    <w:rsid w:val="00235E3C"/>
    <w:rsid w:val="00237E04"/>
    <w:rsid w:val="00237E97"/>
    <w:rsid w:val="00244C39"/>
    <w:rsid w:val="00261E68"/>
    <w:rsid w:val="00271C0D"/>
    <w:rsid w:val="00274F90"/>
    <w:rsid w:val="0027613C"/>
    <w:rsid w:val="00280AF0"/>
    <w:rsid w:val="0028372D"/>
    <w:rsid w:val="00286092"/>
    <w:rsid w:val="00286485"/>
    <w:rsid w:val="00290548"/>
    <w:rsid w:val="00297098"/>
    <w:rsid w:val="002977A2"/>
    <w:rsid w:val="002A49D2"/>
    <w:rsid w:val="002A7FB8"/>
    <w:rsid w:val="002B7769"/>
    <w:rsid w:val="002B7EA4"/>
    <w:rsid w:val="002C0B2D"/>
    <w:rsid w:val="002C11EE"/>
    <w:rsid w:val="002C1B48"/>
    <w:rsid w:val="002C7E72"/>
    <w:rsid w:val="002D18A2"/>
    <w:rsid w:val="002D2E3D"/>
    <w:rsid w:val="002D5517"/>
    <w:rsid w:val="002D562B"/>
    <w:rsid w:val="002E1B1C"/>
    <w:rsid w:val="002E3C9F"/>
    <w:rsid w:val="002E6DF1"/>
    <w:rsid w:val="002E7374"/>
    <w:rsid w:val="002E7D44"/>
    <w:rsid w:val="002F0253"/>
    <w:rsid w:val="002F43F4"/>
    <w:rsid w:val="002F57AC"/>
    <w:rsid w:val="002F6460"/>
    <w:rsid w:val="00302948"/>
    <w:rsid w:val="00313F11"/>
    <w:rsid w:val="00323D6E"/>
    <w:rsid w:val="00330120"/>
    <w:rsid w:val="003379CA"/>
    <w:rsid w:val="00344040"/>
    <w:rsid w:val="00346460"/>
    <w:rsid w:val="003476F6"/>
    <w:rsid w:val="003505A5"/>
    <w:rsid w:val="00350854"/>
    <w:rsid w:val="00353A12"/>
    <w:rsid w:val="00354630"/>
    <w:rsid w:val="00362CFA"/>
    <w:rsid w:val="00364B12"/>
    <w:rsid w:val="00365F8A"/>
    <w:rsid w:val="0036772D"/>
    <w:rsid w:val="00372794"/>
    <w:rsid w:val="003900D1"/>
    <w:rsid w:val="00392C32"/>
    <w:rsid w:val="00395F19"/>
    <w:rsid w:val="00396933"/>
    <w:rsid w:val="003A43E6"/>
    <w:rsid w:val="003B48A9"/>
    <w:rsid w:val="003B4A5B"/>
    <w:rsid w:val="003B77BF"/>
    <w:rsid w:val="003C0AB8"/>
    <w:rsid w:val="004037B4"/>
    <w:rsid w:val="004068EA"/>
    <w:rsid w:val="004113BE"/>
    <w:rsid w:val="00416021"/>
    <w:rsid w:val="00416D33"/>
    <w:rsid w:val="00421530"/>
    <w:rsid w:val="00432850"/>
    <w:rsid w:val="0043528B"/>
    <w:rsid w:val="00437F27"/>
    <w:rsid w:val="00441514"/>
    <w:rsid w:val="004450FA"/>
    <w:rsid w:val="004464F0"/>
    <w:rsid w:val="00461C28"/>
    <w:rsid w:val="0047133D"/>
    <w:rsid w:val="00483790"/>
    <w:rsid w:val="00487C8D"/>
    <w:rsid w:val="00491447"/>
    <w:rsid w:val="00492DF2"/>
    <w:rsid w:val="004A52D0"/>
    <w:rsid w:val="004A6862"/>
    <w:rsid w:val="004B0730"/>
    <w:rsid w:val="004B3135"/>
    <w:rsid w:val="004B47D7"/>
    <w:rsid w:val="004B7673"/>
    <w:rsid w:val="004C0119"/>
    <w:rsid w:val="004C04E0"/>
    <w:rsid w:val="004D6CF5"/>
    <w:rsid w:val="004E0C6B"/>
    <w:rsid w:val="004E30B1"/>
    <w:rsid w:val="004F110D"/>
    <w:rsid w:val="004F149C"/>
    <w:rsid w:val="00501A2D"/>
    <w:rsid w:val="00506D41"/>
    <w:rsid w:val="00511772"/>
    <w:rsid w:val="00514160"/>
    <w:rsid w:val="005174E2"/>
    <w:rsid w:val="00545704"/>
    <w:rsid w:val="005569EA"/>
    <w:rsid w:val="005577B9"/>
    <w:rsid w:val="005638F6"/>
    <w:rsid w:val="00565B52"/>
    <w:rsid w:val="005718A3"/>
    <w:rsid w:val="00571E28"/>
    <w:rsid w:val="0058557C"/>
    <w:rsid w:val="00587AFE"/>
    <w:rsid w:val="00594520"/>
    <w:rsid w:val="005952D9"/>
    <w:rsid w:val="005A2148"/>
    <w:rsid w:val="005A4E78"/>
    <w:rsid w:val="005B456F"/>
    <w:rsid w:val="005B4654"/>
    <w:rsid w:val="005C760B"/>
    <w:rsid w:val="005D29D8"/>
    <w:rsid w:val="005D3755"/>
    <w:rsid w:val="005D745C"/>
    <w:rsid w:val="005E046D"/>
    <w:rsid w:val="005F0248"/>
    <w:rsid w:val="005F62E9"/>
    <w:rsid w:val="005F6A51"/>
    <w:rsid w:val="00601B0C"/>
    <w:rsid w:val="00602A29"/>
    <w:rsid w:val="006068FA"/>
    <w:rsid w:val="00607ADA"/>
    <w:rsid w:val="00611DF0"/>
    <w:rsid w:val="00630540"/>
    <w:rsid w:val="00633146"/>
    <w:rsid w:val="00641DDC"/>
    <w:rsid w:val="0064206D"/>
    <w:rsid w:val="00644BD4"/>
    <w:rsid w:val="006458D6"/>
    <w:rsid w:val="00645BCD"/>
    <w:rsid w:val="006501E1"/>
    <w:rsid w:val="00655714"/>
    <w:rsid w:val="00657A36"/>
    <w:rsid w:val="00662B6C"/>
    <w:rsid w:val="006643AC"/>
    <w:rsid w:val="00674660"/>
    <w:rsid w:val="00676F94"/>
    <w:rsid w:val="00682EAA"/>
    <w:rsid w:val="00692B73"/>
    <w:rsid w:val="00693E25"/>
    <w:rsid w:val="00694E11"/>
    <w:rsid w:val="006953AA"/>
    <w:rsid w:val="006A0669"/>
    <w:rsid w:val="006A2C3E"/>
    <w:rsid w:val="006A7641"/>
    <w:rsid w:val="006B3F6D"/>
    <w:rsid w:val="006B470D"/>
    <w:rsid w:val="006B59C6"/>
    <w:rsid w:val="006B5B0E"/>
    <w:rsid w:val="006B6907"/>
    <w:rsid w:val="006C0935"/>
    <w:rsid w:val="006C4D9D"/>
    <w:rsid w:val="006D22A4"/>
    <w:rsid w:val="006D60A4"/>
    <w:rsid w:val="006E1AE9"/>
    <w:rsid w:val="006E4114"/>
    <w:rsid w:val="006E708F"/>
    <w:rsid w:val="006F5E89"/>
    <w:rsid w:val="00700686"/>
    <w:rsid w:val="00701B03"/>
    <w:rsid w:val="007213E3"/>
    <w:rsid w:val="00722A65"/>
    <w:rsid w:val="00731FD0"/>
    <w:rsid w:val="00735C18"/>
    <w:rsid w:val="0073690E"/>
    <w:rsid w:val="00743AE0"/>
    <w:rsid w:val="00750B59"/>
    <w:rsid w:val="00751050"/>
    <w:rsid w:val="0075147C"/>
    <w:rsid w:val="0075228E"/>
    <w:rsid w:val="00756739"/>
    <w:rsid w:val="00761432"/>
    <w:rsid w:val="007614EB"/>
    <w:rsid w:val="00766271"/>
    <w:rsid w:val="00776734"/>
    <w:rsid w:val="00781CEF"/>
    <w:rsid w:val="00781E78"/>
    <w:rsid w:val="0078249B"/>
    <w:rsid w:val="007A00EE"/>
    <w:rsid w:val="007A1091"/>
    <w:rsid w:val="007B0B3F"/>
    <w:rsid w:val="007B17A4"/>
    <w:rsid w:val="007B1BF1"/>
    <w:rsid w:val="007B5F63"/>
    <w:rsid w:val="007C1B7C"/>
    <w:rsid w:val="007C2B87"/>
    <w:rsid w:val="007D06D7"/>
    <w:rsid w:val="007D610E"/>
    <w:rsid w:val="007E1112"/>
    <w:rsid w:val="007E1B4F"/>
    <w:rsid w:val="007F02E2"/>
    <w:rsid w:val="007F4080"/>
    <w:rsid w:val="0080670B"/>
    <w:rsid w:val="00812663"/>
    <w:rsid w:val="00812912"/>
    <w:rsid w:val="00821302"/>
    <w:rsid w:val="00822C5E"/>
    <w:rsid w:val="008248D0"/>
    <w:rsid w:val="00833E22"/>
    <w:rsid w:val="00834D56"/>
    <w:rsid w:val="0084029F"/>
    <w:rsid w:val="00841E86"/>
    <w:rsid w:val="00842671"/>
    <w:rsid w:val="008443C5"/>
    <w:rsid w:val="00852B57"/>
    <w:rsid w:val="00857D8D"/>
    <w:rsid w:val="00860A23"/>
    <w:rsid w:val="00862C01"/>
    <w:rsid w:val="00864282"/>
    <w:rsid w:val="00882233"/>
    <w:rsid w:val="00883814"/>
    <w:rsid w:val="00894A7A"/>
    <w:rsid w:val="008A3095"/>
    <w:rsid w:val="008A673D"/>
    <w:rsid w:val="008B031D"/>
    <w:rsid w:val="008B2B75"/>
    <w:rsid w:val="008C2D00"/>
    <w:rsid w:val="008C5541"/>
    <w:rsid w:val="008D7A39"/>
    <w:rsid w:val="008F4CE1"/>
    <w:rsid w:val="009110C8"/>
    <w:rsid w:val="00917708"/>
    <w:rsid w:val="0092143D"/>
    <w:rsid w:val="0092667A"/>
    <w:rsid w:val="00934A99"/>
    <w:rsid w:val="009454E1"/>
    <w:rsid w:val="0095399D"/>
    <w:rsid w:val="009548DB"/>
    <w:rsid w:val="0095520F"/>
    <w:rsid w:val="00962B82"/>
    <w:rsid w:val="00963A0F"/>
    <w:rsid w:val="0097015D"/>
    <w:rsid w:val="00974354"/>
    <w:rsid w:val="00983FBA"/>
    <w:rsid w:val="009852F2"/>
    <w:rsid w:val="009860A4"/>
    <w:rsid w:val="00986AAB"/>
    <w:rsid w:val="00995F78"/>
    <w:rsid w:val="009A6237"/>
    <w:rsid w:val="009B07EB"/>
    <w:rsid w:val="009B15F0"/>
    <w:rsid w:val="009B1FD1"/>
    <w:rsid w:val="009B3334"/>
    <w:rsid w:val="009B362B"/>
    <w:rsid w:val="009B55F4"/>
    <w:rsid w:val="009B660F"/>
    <w:rsid w:val="009C4162"/>
    <w:rsid w:val="009C4FDD"/>
    <w:rsid w:val="009D5CC3"/>
    <w:rsid w:val="009D6D9A"/>
    <w:rsid w:val="009E403A"/>
    <w:rsid w:val="009F55A2"/>
    <w:rsid w:val="00A0279C"/>
    <w:rsid w:val="00A02C7F"/>
    <w:rsid w:val="00A07A2B"/>
    <w:rsid w:val="00A17750"/>
    <w:rsid w:val="00A21B78"/>
    <w:rsid w:val="00A225C1"/>
    <w:rsid w:val="00A238A8"/>
    <w:rsid w:val="00A24F77"/>
    <w:rsid w:val="00A34EFA"/>
    <w:rsid w:val="00A41C3D"/>
    <w:rsid w:val="00A51178"/>
    <w:rsid w:val="00A5243D"/>
    <w:rsid w:val="00A55EF2"/>
    <w:rsid w:val="00A73024"/>
    <w:rsid w:val="00A813AD"/>
    <w:rsid w:val="00A83D4C"/>
    <w:rsid w:val="00A83ECB"/>
    <w:rsid w:val="00A8627F"/>
    <w:rsid w:val="00A93CAC"/>
    <w:rsid w:val="00A963F1"/>
    <w:rsid w:val="00A9664A"/>
    <w:rsid w:val="00AA5D6A"/>
    <w:rsid w:val="00AA6350"/>
    <w:rsid w:val="00AB0538"/>
    <w:rsid w:val="00AB15CE"/>
    <w:rsid w:val="00AB245C"/>
    <w:rsid w:val="00AB6B0F"/>
    <w:rsid w:val="00AC027A"/>
    <w:rsid w:val="00AC24FE"/>
    <w:rsid w:val="00AC255E"/>
    <w:rsid w:val="00AC281B"/>
    <w:rsid w:val="00AE19F7"/>
    <w:rsid w:val="00AE73F0"/>
    <w:rsid w:val="00AF07B3"/>
    <w:rsid w:val="00AF0F67"/>
    <w:rsid w:val="00AF4315"/>
    <w:rsid w:val="00B12D07"/>
    <w:rsid w:val="00B1420E"/>
    <w:rsid w:val="00B14BD2"/>
    <w:rsid w:val="00B1575F"/>
    <w:rsid w:val="00B2136E"/>
    <w:rsid w:val="00B22DF5"/>
    <w:rsid w:val="00B26B08"/>
    <w:rsid w:val="00B26FA0"/>
    <w:rsid w:val="00B3000D"/>
    <w:rsid w:val="00B31C54"/>
    <w:rsid w:val="00B34175"/>
    <w:rsid w:val="00B34E5A"/>
    <w:rsid w:val="00B365ED"/>
    <w:rsid w:val="00B46139"/>
    <w:rsid w:val="00B509EA"/>
    <w:rsid w:val="00B50D77"/>
    <w:rsid w:val="00B5287A"/>
    <w:rsid w:val="00B61FC5"/>
    <w:rsid w:val="00B666E2"/>
    <w:rsid w:val="00B701AE"/>
    <w:rsid w:val="00B713C0"/>
    <w:rsid w:val="00B71B8F"/>
    <w:rsid w:val="00B71C3E"/>
    <w:rsid w:val="00B7310B"/>
    <w:rsid w:val="00B768B9"/>
    <w:rsid w:val="00B838C1"/>
    <w:rsid w:val="00B945E0"/>
    <w:rsid w:val="00B955CB"/>
    <w:rsid w:val="00B96A93"/>
    <w:rsid w:val="00B9789B"/>
    <w:rsid w:val="00B97BD4"/>
    <w:rsid w:val="00BB1592"/>
    <w:rsid w:val="00BB1B51"/>
    <w:rsid w:val="00BB7A2C"/>
    <w:rsid w:val="00BD5241"/>
    <w:rsid w:val="00BD5B70"/>
    <w:rsid w:val="00BD6D30"/>
    <w:rsid w:val="00BE0E90"/>
    <w:rsid w:val="00BE1449"/>
    <w:rsid w:val="00BE15DD"/>
    <w:rsid w:val="00BE2880"/>
    <w:rsid w:val="00BF02D2"/>
    <w:rsid w:val="00BF4B93"/>
    <w:rsid w:val="00BF68D6"/>
    <w:rsid w:val="00BF6DF9"/>
    <w:rsid w:val="00C023F7"/>
    <w:rsid w:val="00C04C44"/>
    <w:rsid w:val="00C05FD3"/>
    <w:rsid w:val="00C10690"/>
    <w:rsid w:val="00C132D8"/>
    <w:rsid w:val="00C13832"/>
    <w:rsid w:val="00C229BA"/>
    <w:rsid w:val="00C22D85"/>
    <w:rsid w:val="00C25ED6"/>
    <w:rsid w:val="00C264B5"/>
    <w:rsid w:val="00C30D6E"/>
    <w:rsid w:val="00C31401"/>
    <w:rsid w:val="00C32776"/>
    <w:rsid w:val="00C33B06"/>
    <w:rsid w:val="00C33D98"/>
    <w:rsid w:val="00C4686F"/>
    <w:rsid w:val="00C4727E"/>
    <w:rsid w:val="00C55F37"/>
    <w:rsid w:val="00C56C17"/>
    <w:rsid w:val="00C67E0E"/>
    <w:rsid w:val="00C709D1"/>
    <w:rsid w:val="00C7267B"/>
    <w:rsid w:val="00C73EA4"/>
    <w:rsid w:val="00C74BE9"/>
    <w:rsid w:val="00C75B4D"/>
    <w:rsid w:val="00C80CED"/>
    <w:rsid w:val="00C85522"/>
    <w:rsid w:val="00CA118F"/>
    <w:rsid w:val="00CA4A69"/>
    <w:rsid w:val="00CB0871"/>
    <w:rsid w:val="00CB20F4"/>
    <w:rsid w:val="00CB670B"/>
    <w:rsid w:val="00CD326B"/>
    <w:rsid w:val="00D01518"/>
    <w:rsid w:val="00D16530"/>
    <w:rsid w:val="00D669AA"/>
    <w:rsid w:val="00D70CDC"/>
    <w:rsid w:val="00D726BD"/>
    <w:rsid w:val="00D72EBB"/>
    <w:rsid w:val="00D768D2"/>
    <w:rsid w:val="00D856FB"/>
    <w:rsid w:val="00DB19CB"/>
    <w:rsid w:val="00DB502C"/>
    <w:rsid w:val="00DB56A7"/>
    <w:rsid w:val="00DC50AB"/>
    <w:rsid w:val="00DC52F6"/>
    <w:rsid w:val="00DD5B3B"/>
    <w:rsid w:val="00DD66DC"/>
    <w:rsid w:val="00DE2CDB"/>
    <w:rsid w:val="00DE3869"/>
    <w:rsid w:val="00DE3C8D"/>
    <w:rsid w:val="00DF1629"/>
    <w:rsid w:val="00E07C61"/>
    <w:rsid w:val="00E13724"/>
    <w:rsid w:val="00E148F7"/>
    <w:rsid w:val="00E15E39"/>
    <w:rsid w:val="00E17DD1"/>
    <w:rsid w:val="00E26EAC"/>
    <w:rsid w:val="00E3361B"/>
    <w:rsid w:val="00E3366E"/>
    <w:rsid w:val="00E33A43"/>
    <w:rsid w:val="00E340C4"/>
    <w:rsid w:val="00E510C7"/>
    <w:rsid w:val="00E63845"/>
    <w:rsid w:val="00E6541D"/>
    <w:rsid w:val="00E6714E"/>
    <w:rsid w:val="00E77022"/>
    <w:rsid w:val="00E93B02"/>
    <w:rsid w:val="00E93F91"/>
    <w:rsid w:val="00E94507"/>
    <w:rsid w:val="00E948A2"/>
    <w:rsid w:val="00EA3370"/>
    <w:rsid w:val="00EB05A8"/>
    <w:rsid w:val="00EC1631"/>
    <w:rsid w:val="00EC654C"/>
    <w:rsid w:val="00EC7B62"/>
    <w:rsid w:val="00ED69C1"/>
    <w:rsid w:val="00ED738D"/>
    <w:rsid w:val="00EE1388"/>
    <w:rsid w:val="00EE7C45"/>
    <w:rsid w:val="00EF4992"/>
    <w:rsid w:val="00F23CFE"/>
    <w:rsid w:val="00F258F8"/>
    <w:rsid w:val="00F31771"/>
    <w:rsid w:val="00F3280E"/>
    <w:rsid w:val="00F3621E"/>
    <w:rsid w:val="00F402BC"/>
    <w:rsid w:val="00F42D5D"/>
    <w:rsid w:val="00F450C2"/>
    <w:rsid w:val="00F464DA"/>
    <w:rsid w:val="00F56FF4"/>
    <w:rsid w:val="00F633FA"/>
    <w:rsid w:val="00F66886"/>
    <w:rsid w:val="00F82BA9"/>
    <w:rsid w:val="00F84724"/>
    <w:rsid w:val="00F87211"/>
    <w:rsid w:val="00F90DEA"/>
    <w:rsid w:val="00F97E6D"/>
    <w:rsid w:val="00FA16A1"/>
    <w:rsid w:val="00FB517A"/>
    <w:rsid w:val="00FB7924"/>
    <w:rsid w:val="00FC0162"/>
    <w:rsid w:val="00FD1B10"/>
    <w:rsid w:val="00FD36D5"/>
    <w:rsid w:val="00FD3EDD"/>
    <w:rsid w:val="00FD4407"/>
    <w:rsid w:val="00FD7FDF"/>
    <w:rsid w:val="00FE263D"/>
    <w:rsid w:val="00FF04A1"/>
    <w:rsid w:val="00FF5B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508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27F"/>
    <w:pPr>
      <w:spacing w:after="60" w:line="216" w:lineRule="auto"/>
    </w:pPr>
    <w:rPr>
      <w:sz w:val="18"/>
    </w:rPr>
  </w:style>
  <w:style w:type="paragraph" w:styleId="Heading1">
    <w:name w:val="heading 1"/>
    <w:basedOn w:val="Normal"/>
    <w:next w:val="Normal"/>
    <w:link w:val="Heading1Char"/>
    <w:uiPriority w:val="9"/>
    <w:qFormat/>
    <w:rsid w:val="002F57AC"/>
    <w:pPr>
      <w:spacing w:before="240"/>
      <w:outlineLvl w:val="0"/>
    </w:pPr>
    <w:rPr>
      <w:rFonts w:ascii="Segoe Condensed" w:hAnsi="Segoe Condensed" w:cstheme="majorHAnsi"/>
      <w:b/>
      <w:color w:val="943634" w:themeColor="accent2" w:themeShade="BF"/>
      <w:sz w:val="36"/>
      <w:szCs w:val="36"/>
    </w:rPr>
  </w:style>
  <w:style w:type="paragraph" w:styleId="Heading2">
    <w:name w:val="heading 2"/>
    <w:basedOn w:val="Normal"/>
    <w:next w:val="Normal"/>
    <w:link w:val="Heading2Char"/>
    <w:uiPriority w:val="9"/>
    <w:unhideWhenUsed/>
    <w:qFormat/>
    <w:rsid w:val="00DB19CB"/>
    <w:pPr>
      <w:tabs>
        <w:tab w:val="left" w:pos="270"/>
      </w:tabs>
      <w:outlineLvl w:val="1"/>
    </w:pPr>
    <w:rPr>
      <w:rFonts w:ascii="Segoe UI Light" w:hAnsi="Segoe UI Light" w:cstheme="minorHAnsi"/>
      <w:b/>
      <w:color w:val="C0504D" w:themeColor="accent2"/>
      <w:sz w:val="32"/>
    </w:rPr>
  </w:style>
  <w:style w:type="paragraph" w:styleId="Heading3">
    <w:name w:val="heading 3"/>
    <w:basedOn w:val="NoSpacing"/>
    <w:next w:val="Normal"/>
    <w:link w:val="Heading3Char"/>
    <w:uiPriority w:val="9"/>
    <w:unhideWhenUsed/>
    <w:qFormat/>
    <w:rsid w:val="00F23CFE"/>
    <w:pPr>
      <w:outlineLvl w:val="2"/>
    </w:pPr>
    <w:rPr>
      <w:rFonts w:ascii="Segoe UI Semibold" w:hAnsi="Segoe UI Semibold" w:cstheme="majorHAnsi"/>
      <w:bC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664A"/>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A9664A"/>
    <w:rPr>
      <w:rFonts w:ascii="Tahoma" w:hAnsi="Tahoma" w:cs="Tahoma"/>
      <w:sz w:val="16"/>
      <w:szCs w:val="16"/>
    </w:rPr>
  </w:style>
  <w:style w:type="paragraph" w:styleId="ListParagraph">
    <w:name w:val="List Paragraph"/>
    <w:aliases w:val="Bullet List,FooterText,numbered,List Paragraph1,Paragraphe de liste1,Bulletr List Paragraph,列出段落,列出段落1,List Paragraph2,List Paragraph21,Listeafsnit1,Parágrafo da Lista1,Párrafo de lista1,リスト段落1,Bullet list,List Paragraph11"/>
    <w:basedOn w:val="Normal"/>
    <w:link w:val="ListParagraphChar"/>
    <w:uiPriority w:val="34"/>
    <w:qFormat/>
    <w:rsid w:val="00AB245C"/>
    <w:pPr>
      <w:numPr>
        <w:numId w:val="2"/>
      </w:numPr>
      <w:contextualSpacing/>
    </w:pPr>
  </w:style>
  <w:style w:type="paragraph" w:styleId="Header">
    <w:name w:val="header"/>
    <w:basedOn w:val="Normal"/>
    <w:link w:val="HeaderChar"/>
    <w:uiPriority w:val="99"/>
    <w:unhideWhenUsed/>
    <w:rsid w:val="00DD66DC"/>
    <w:pPr>
      <w:tabs>
        <w:tab w:val="center" w:pos="4680"/>
        <w:tab w:val="right" w:pos="9360"/>
      </w:tabs>
      <w:spacing w:after="0"/>
    </w:pPr>
  </w:style>
  <w:style w:type="character" w:customStyle="1" w:styleId="HeaderChar">
    <w:name w:val="Header Char"/>
    <w:basedOn w:val="DefaultParagraphFont"/>
    <w:link w:val="Header"/>
    <w:uiPriority w:val="99"/>
    <w:rsid w:val="00DD66DC"/>
  </w:style>
  <w:style w:type="paragraph" w:styleId="Footer">
    <w:name w:val="footer"/>
    <w:basedOn w:val="Normal"/>
    <w:link w:val="FooterChar"/>
    <w:uiPriority w:val="99"/>
    <w:unhideWhenUsed/>
    <w:rsid w:val="00DD66DC"/>
    <w:pPr>
      <w:tabs>
        <w:tab w:val="center" w:pos="4680"/>
        <w:tab w:val="right" w:pos="9360"/>
      </w:tabs>
      <w:spacing w:after="0"/>
    </w:pPr>
  </w:style>
  <w:style w:type="character" w:customStyle="1" w:styleId="FooterChar">
    <w:name w:val="Footer Char"/>
    <w:basedOn w:val="DefaultParagraphFont"/>
    <w:link w:val="Footer"/>
    <w:uiPriority w:val="99"/>
    <w:rsid w:val="00DD66DC"/>
  </w:style>
  <w:style w:type="paragraph" w:styleId="NoSpacing">
    <w:name w:val="No Spacing"/>
    <w:link w:val="NoSpacingChar"/>
    <w:uiPriority w:val="1"/>
    <w:qFormat/>
    <w:rsid w:val="0084029F"/>
    <w:pPr>
      <w:spacing w:after="0" w:line="216" w:lineRule="auto"/>
    </w:pPr>
    <w:rPr>
      <w:rFonts w:ascii="Calibri" w:eastAsia="Calibri" w:hAnsi="Calibri" w:cs="Times New Roman"/>
    </w:rPr>
  </w:style>
  <w:style w:type="character" w:styleId="CommentReference">
    <w:name w:val="annotation reference"/>
    <w:basedOn w:val="DefaultParagraphFont"/>
    <w:uiPriority w:val="99"/>
    <w:semiHidden/>
    <w:rsid w:val="00633146"/>
    <w:rPr>
      <w:rFonts w:cs="Times New Roman"/>
      <w:sz w:val="16"/>
      <w:szCs w:val="16"/>
    </w:rPr>
  </w:style>
  <w:style w:type="paragraph" w:styleId="CommentText">
    <w:name w:val="annotation text"/>
    <w:basedOn w:val="Normal"/>
    <w:link w:val="CommentTextChar"/>
    <w:uiPriority w:val="99"/>
    <w:rsid w:val="00633146"/>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633146"/>
    <w:rPr>
      <w:rFonts w:ascii="Calibri" w:eastAsia="Calibri" w:hAnsi="Calibri" w:cs="Times New Roman"/>
      <w:sz w:val="20"/>
      <w:szCs w:val="20"/>
    </w:rPr>
  </w:style>
  <w:style w:type="character" w:customStyle="1" w:styleId="NoSpacingChar">
    <w:name w:val="No Spacing Char"/>
    <w:basedOn w:val="DefaultParagraphFont"/>
    <w:link w:val="NoSpacing"/>
    <w:uiPriority w:val="1"/>
    <w:locked/>
    <w:rsid w:val="0084029F"/>
    <w:rPr>
      <w:rFonts w:ascii="Calibri" w:eastAsia="Calibri" w:hAnsi="Calibri" w:cs="Times New Roman"/>
    </w:rPr>
  </w:style>
  <w:style w:type="character" w:customStyle="1" w:styleId="ListParagraphChar">
    <w:name w:val="List Paragraph Char"/>
    <w:aliases w:val="Bullet List Char,FooterText Char,numbered Char,List Paragraph1 Char,Paragraphe de liste1 Char,Bulletr List Paragraph Char,列出段落 Char,列出段落1 Char,List Paragraph2 Char,List Paragraph21 Char,Listeafsnit1 Char,Parágrafo da Lista1 Char"/>
    <w:basedOn w:val="DefaultParagraphFont"/>
    <w:link w:val="ListParagraph"/>
    <w:uiPriority w:val="34"/>
    <w:rsid w:val="00AB245C"/>
    <w:rPr>
      <w:sz w:val="18"/>
    </w:rPr>
  </w:style>
  <w:style w:type="paragraph" w:styleId="NormalWeb">
    <w:name w:val="Normal (Web)"/>
    <w:basedOn w:val="Normal"/>
    <w:uiPriority w:val="99"/>
    <w:unhideWhenUsed/>
    <w:rsid w:val="006A0669"/>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F57AC"/>
    <w:rPr>
      <w:rFonts w:ascii="Segoe Condensed" w:hAnsi="Segoe Condensed" w:cstheme="majorHAnsi"/>
      <w:b/>
      <w:color w:val="943634" w:themeColor="accent2" w:themeShade="BF"/>
      <w:sz w:val="36"/>
      <w:szCs w:val="36"/>
    </w:rPr>
  </w:style>
  <w:style w:type="character" w:customStyle="1" w:styleId="Heading2Char">
    <w:name w:val="Heading 2 Char"/>
    <w:basedOn w:val="DefaultParagraphFont"/>
    <w:link w:val="Heading2"/>
    <w:uiPriority w:val="9"/>
    <w:rsid w:val="00DB19CB"/>
    <w:rPr>
      <w:rFonts w:ascii="Segoe UI Light" w:hAnsi="Segoe UI Light" w:cstheme="minorHAnsi"/>
      <w:b/>
      <w:color w:val="C0504D" w:themeColor="accent2"/>
      <w:sz w:val="32"/>
    </w:rPr>
  </w:style>
  <w:style w:type="character" w:customStyle="1" w:styleId="Heading3Char">
    <w:name w:val="Heading 3 Char"/>
    <w:basedOn w:val="DefaultParagraphFont"/>
    <w:link w:val="Heading3"/>
    <w:uiPriority w:val="9"/>
    <w:rsid w:val="00F23CFE"/>
    <w:rPr>
      <w:rFonts w:ascii="Segoe UI Semibold" w:eastAsia="Calibri" w:hAnsi="Segoe UI Semibold" w:cstheme="majorHAnsi"/>
      <w:bCs/>
      <w:color w:val="000000"/>
      <w:sz w:val="28"/>
    </w:rPr>
  </w:style>
  <w:style w:type="paragraph" w:customStyle="1" w:styleId="List2">
    <w:name w:val="List2"/>
    <w:basedOn w:val="NoSpacing"/>
    <w:link w:val="List2Char"/>
    <w:qFormat/>
    <w:rsid w:val="00DB19CB"/>
    <w:pPr>
      <w:numPr>
        <w:numId w:val="1"/>
      </w:numPr>
    </w:pPr>
    <w:rPr>
      <w:rFonts w:asciiTheme="majorHAnsi" w:hAnsiTheme="majorHAnsi" w:cstheme="majorHAnsi"/>
      <w:bCs/>
    </w:rPr>
  </w:style>
  <w:style w:type="character" w:customStyle="1" w:styleId="List2Char">
    <w:name w:val="List2 Char"/>
    <w:basedOn w:val="NoSpacingChar"/>
    <w:link w:val="List2"/>
    <w:rsid w:val="00DB19CB"/>
    <w:rPr>
      <w:rFonts w:asciiTheme="majorHAnsi" w:eastAsia="Calibri" w:hAnsiTheme="majorHAnsi" w:cstheme="majorHAnsi"/>
      <w:bCs/>
    </w:rPr>
  </w:style>
  <w:style w:type="table" w:styleId="TableGrid">
    <w:name w:val="Table Grid"/>
    <w:basedOn w:val="TableNormal"/>
    <w:uiPriority w:val="59"/>
    <w:rsid w:val="006746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4068EA"/>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4068EA"/>
    <w:rPr>
      <w:rFonts w:ascii="Calibri" w:eastAsia="Calibri" w:hAnsi="Calibri" w:cs="Times New Roman"/>
      <w:b/>
      <w:bCs/>
      <w:sz w:val="20"/>
      <w:szCs w:val="20"/>
    </w:rPr>
  </w:style>
  <w:style w:type="paragraph" w:customStyle="1" w:styleId="VLBodyHead">
    <w:name w:val="VL Body Head"/>
    <w:basedOn w:val="Normal"/>
    <w:link w:val="VLBodyHeadChar"/>
    <w:qFormat/>
    <w:rsid w:val="00A07A2B"/>
    <w:pPr>
      <w:spacing w:before="200" w:after="0" w:line="270" w:lineRule="exact"/>
    </w:pPr>
    <w:rPr>
      <w:rFonts w:ascii="Segoe UI Semibold" w:eastAsiaTheme="minorHAnsi" w:hAnsi="Segoe UI Semibold"/>
      <w:b/>
      <w:color w:val="404040" w:themeColor="text1" w:themeTint="BF"/>
    </w:rPr>
  </w:style>
  <w:style w:type="paragraph" w:customStyle="1" w:styleId="VLBodyCopy">
    <w:name w:val="VL Body Copy"/>
    <w:basedOn w:val="Normal"/>
    <w:link w:val="VLBodyCopyChar"/>
    <w:qFormat/>
    <w:rsid w:val="00A8627F"/>
    <w:pPr>
      <w:spacing w:after="200" w:line="270" w:lineRule="exact"/>
    </w:pPr>
    <w:rPr>
      <w:rFonts w:ascii="Segoe UI" w:eastAsiaTheme="minorHAnsi" w:hAnsi="Segoe UI"/>
      <w:color w:val="595959" w:themeColor="text1" w:themeTint="A6"/>
      <w:sz w:val="20"/>
    </w:rPr>
  </w:style>
  <w:style w:type="character" w:customStyle="1" w:styleId="VLBodyHeadChar">
    <w:name w:val="VL Body Head Char"/>
    <w:basedOn w:val="DefaultParagraphFont"/>
    <w:link w:val="VLBodyHead"/>
    <w:rsid w:val="00A07A2B"/>
    <w:rPr>
      <w:rFonts w:ascii="Segoe UI Semibold" w:eastAsiaTheme="minorHAnsi" w:hAnsi="Segoe UI Semibold"/>
      <w:b/>
      <w:color w:val="404040" w:themeColor="text1" w:themeTint="BF"/>
      <w:sz w:val="18"/>
    </w:rPr>
  </w:style>
  <w:style w:type="character" w:customStyle="1" w:styleId="VLBodyCopyChar">
    <w:name w:val="VL Body Copy Char"/>
    <w:basedOn w:val="DefaultParagraphFont"/>
    <w:link w:val="VLBodyCopy"/>
    <w:rsid w:val="00A8627F"/>
    <w:rPr>
      <w:rFonts w:ascii="Segoe UI" w:eastAsiaTheme="minorHAnsi" w:hAnsi="Segoe UI"/>
      <w:color w:val="595959" w:themeColor="text1" w:themeTint="A6"/>
      <w:sz w:val="20"/>
    </w:rPr>
  </w:style>
  <w:style w:type="paragraph" w:customStyle="1" w:styleId="VLBodyBullet">
    <w:name w:val="VL Body Bullet"/>
    <w:basedOn w:val="VLBodyCopy"/>
    <w:link w:val="VLBodyBulletChar"/>
    <w:qFormat/>
    <w:rsid w:val="00F82BA9"/>
    <w:pPr>
      <w:numPr>
        <w:numId w:val="3"/>
      </w:numPr>
      <w:spacing w:after="60" w:line="240" w:lineRule="auto"/>
    </w:pPr>
    <w:rPr>
      <w:bCs/>
      <w:color w:val="404040" w:themeColor="text1" w:themeTint="BF"/>
      <w:sz w:val="24"/>
      <w:szCs w:val="24"/>
    </w:rPr>
  </w:style>
  <w:style w:type="character" w:customStyle="1" w:styleId="VLBodyBulletChar">
    <w:name w:val="VL Body Bullet Char"/>
    <w:basedOn w:val="VLBodyCopyChar"/>
    <w:link w:val="VLBodyBullet"/>
    <w:rsid w:val="00F82BA9"/>
    <w:rPr>
      <w:rFonts w:ascii="Segoe UI" w:eastAsiaTheme="minorHAnsi" w:hAnsi="Segoe UI"/>
      <w:bCs/>
      <w:color w:val="404040" w:themeColor="text1" w:themeTint="BF"/>
      <w:sz w:val="24"/>
      <w:szCs w:val="24"/>
    </w:rPr>
  </w:style>
  <w:style w:type="paragraph" w:customStyle="1" w:styleId="VLHead1">
    <w:name w:val="VL Head 1"/>
    <w:basedOn w:val="Normal"/>
    <w:link w:val="VLHead1Char"/>
    <w:qFormat/>
    <w:rsid w:val="001B70C4"/>
    <w:pPr>
      <w:spacing w:before="480" w:line="270" w:lineRule="exact"/>
    </w:pPr>
    <w:rPr>
      <w:rFonts w:ascii="Segoe UI" w:eastAsiaTheme="minorHAnsi" w:hAnsi="Segoe UI"/>
      <w:color w:val="6D1514"/>
      <w:sz w:val="25"/>
      <w:szCs w:val="24"/>
    </w:rPr>
  </w:style>
  <w:style w:type="character" w:customStyle="1" w:styleId="VLHead1Char">
    <w:name w:val="VL Head 1 Char"/>
    <w:basedOn w:val="DefaultParagraphFont"/>
    <w:link w:val="VLHead1"/>
    <w:rsid w:val="001B70C4"/>
    <w:rPr>
      <w:rFonts w:ascii="Segoe UI" w:eastAsiaTheme="minorHAnsi" w:hAnsi="Segoe UI"/>
      <w:color w:val="6D1514"/>
      <w:sz w:val="25"/>
      <w:szCs w:val="24"/>
    </w:rPr>
  </w:style>
  <w:style w:type="character" w:styleId="Hyperlink">
    <w:name w:val="Hyperlink"/>
    <w:basedOn w:val="DefaultParagraphFont"/>
    <w:uiPriority w:val="99"/>
    <w:unhideWhenUsed/>
    <w:rsid w:val="000F38AB"/>
    <w:rPr>
      <w:color w:val="0000FF" w:themeColor="hyperlink"/>
      <w:u w:val="single"/>
    </w:rPr>
  </w:style>
  <w:style w:type="paragraph" w:styleId="Revision">
    <w:name w:val="Revision"/>
    <w:hidden/>
    <w:uiPriority w:val="99"/>
    <w:semiHidden/>
    <w:rsid w:val="00AC027A"/>
    <w:pPr>
      <w:spacing w:after="0" w:line="240" w:lineRule="auto"/>
    </w:pPr>
  </w:style>
  <w:style w:type="character" w:styleId="Strong">
    <w:name w:val="Strong"/>
    <w:basedOn w:val="DefaultParagraphFont"/>
    <w:uiPriority w:val="22"/>
    <w:qFormat/>
    <w:rsid w:val="009B07EB"/>
    <w:rPr>
      <w:b/>
      <w:bCs/>
    </w:rPr>
  </w:style>
  <w:style w:type="paragraph" w:customStyle="1" w:styleId="Text">
    <w:name w:val="Text"/>
    <w:aliases w:val="t"/>
    <w:link w:val="TextChar"/>
    <w:uiPriority w:val="99"/>
    <w:rsid w:val="001B1AA1"/>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1B1AA1"/>
    <w:rPr>
      <w:rFonts w:ascii="Verdana" w:eastAsia="Times New Roman" w:hAnsi="Verdana" w:cs="Times New Roman"/>
      <w:color w:val="000000"/>
      <w:sz w:val="20"/>
      <w:szCs w:val="20"/>
    </w:rPr>
  </w:style>
  <w:style w:type="paragraph" w:customStyle="1" w:styleId="Body">
    <w:name w:val="Body"/>
    <w:basedOn w:val="Normal"/>
    <w:link w:val="BodyChar"/>
    <w:qFormat/>
    <w:rsid w:val="00F82BA9"/>
    <w:pPr>
      <w:spacing w:line="240" w:lineRule="auto"/>
    </w:pPr>
    <w:rPr>
      <w:color w:val="404040" w:themeColor="text1" w:themeTint="BF"/>
      <w:sz w:val="24"/>
      <w:szCs w:val="24"/>
    </w:rPr>
  </w:style>
  <w:style w:type="paragraph" w:customStyle="1" w:styleId="Notes">
    <w:name w:val="Notes"/>
    <w:basedOn w:val="Normal"/>
    <w:link w:val="NotesChar"/>
    <w:qFormat/>
    <w:rsid w:val="00C32776"/>
    <w:pPr>
      <w:spacing w:before="120" w:after="240"/>
    </w:pPr>
    <w:rPr>
      <w:rFonts w:cstheme="minorHAnsi"/>
      <w:i/>
      <w:color w:val="000000"/>
      <w:szCs w:val="24"/>
    </w:rPr>
  </w:style>
  <w:style w:type="character" w:customStyle="1" w:styleId="BodyChar">
    <w:name w:val="Body Char"/>
    <w:basedOn w:val="DefaultParagraphFont"/>
    <w:link w:val="Body"/>
    <w:rsid w:val="00F82BA9"/>
    <w:rPr>
      <w:color w:val="404040" w:themeColor="text1" w:themeTint="BF"/>
      <w:sz w:val="24"/>
      <w:szCs w:val="24"/>
    </w:rPr>
  </w:style>
  <w:style w:type="character" w:customStyle="1" w:styleId="NotesChar">
    <w:name w:val="Notes Char"/>
    <w:basedOn w:val="DefaultParagraphFont"/>
    <w:link w:val="Notes"/>
    <w:rsid w:val="00C32776"/>
    <w:rPr>
      <w:rFonts w:cstheme="minorHAnsi"/>
      <w:i/>
      <w:color w:val="000000"/>
      <w:sz w:val="18"/>
      <w:szCs w:val="24"/>
    </w:rPr>
  </w:style>
  <w:style w:type="paragraph" w:styleId="TOC2">
    <w:name w:val="toc 2"/>
    <w:basedOn w:val="Normal"/>
    <w:next w:val="Normal"/>
    <w:autoRedefine/>
    <w:uiPriority w:val="39"/>
    <w:semiHidden/>
    <w:unhideWhenUsed/>
    <w:qFormat/>
    <w:rsid w:val="001C3A3A"/>
    <w:pPr>
      <w:tabs>
        <w:tab w:val="left" w:pos="660"/>
        <w:tab w:val="right" w:leader="dot" w:pos="9350"/>
      </w:tabs>
      <w:spacing w:after="100" w:line="276" w:lineRule="auto"/>
      <w:ind w:left="220" w:right="720"/>
    </w:pPr>
    <w:rPr>
      <w:rFonts w:eastAsiaTheme="minorHAnsi"/>
      <w:b/>
      <w:noProof/>
      <w:sz w:val="22"/>
    </w:rPr>
  </w:style>
  <w:style w:type="paragraph" w:styleId="TOC3">
    <w:name w:val="toc 3"/>
    <w:basedOn w:val="Normal"/>
    <w:next w:val="Normal"/>
    <w:autoRedefine/>
    <w:uiPriority w:val="39"/>
    <w:semiHidden/>
    <w:unhideWhenUsed/>
    <w:qFormat/>
    <w:rsid w:val="001C3A3A"/>
    <w:pPr>
      <w:spacing w:after="100" w:line="276" w:lineRule="auto"/>
      <w:ind w:left="440"/>
    </w:pPr>
    <w:rPr>
      <w:sz w:val="22"/>
      <w:lang w:eastAsia="ja-JP"/>
    </w:rPr>
  </w:style>
  <w:style w:type="paragraph" w:styleId="TOCHeading">
    <w:name w:val="TOC Heading"/>
    <w:basedOn w:val="Heading1"/>
    <w:next w:val="Normal"/>
    <w:uiPriority w:val="39"/>
    <w:semiHidden/>
    <w:unhideWhenUsed/>
    <w:qFormat/>
    <w:rsid w:val="001C3A3A"/>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27F"/>
    <w:pPr>
      <w:spacing w:after="60" w:line="216" w:lineRule="auto"/>
    </w:pPr>
    <w:rPr>
      <w:sz w:val="18"/>
    </w:rPr>
  </w:style>
  <w:style w:type="paragraph" w:styleId="Heading1">
    <w:name w:val="heading 1"/>
    <w:basedOn w:val="Normal"/>
    <w:next w:val="Normal"/>
    <w:link w:val="Heading1Char"/>
    <w:uiPriority w:val="9"/>
    <w:qFormat/>
    <w:rsid w:val="002F57AC"/>
    <w:pPr>
      <w:spacing w:before="240"/>
      <w:outlineLvl w:val="0"/>
    </w:pPr>
    <w:rPr>
      <w:rFonts w:ascii="Segoe Condensed" w:hAnsi="Segoe Condensed" w:cstheme="majorHAnsi"/>
      <w:b/>
      <w:color w:val="943634" w:themeColor="accent2" w:themeShade="BF"/>
      <w:sz w:val="36"/>
      <w:szCs w:val="36"/>
    </w:rPr>
  </w:style>
  <w:style w:type="paragraph" w:styleId="Heading2">
    <w:name w:val="heading 2"/>
    <w:basedOn w:val="Normal"/>
    <w:next w:val="Normal"/>
    <w:link w:val="Heading2Char"/>
    <w:uiPriority w:val="9"/>
    <w:unhideWhenUsed/>
    <w:qFormat/>
    <w:rsid w:val="00DB19CB"/>
    <w:pPr>
      <w:tabs>
        <w:tab w:val="left" w:pos="270"/>
      </w:tabs>
      <w:outlineLvl w:val="1"/>
    </w:pPr>
    <w:rPr>
      <w:rFonts w:ascii="Segoe UI Light" w:hAnsi="Segoe UI Light" w:cstheme="minorHAnsi"/>
      <w:b/>
      <w:color w:val="C0504D" w:themeColor="accent2"/>
      <w:sz w:val="32"/>
    </w:rPr>
  </w:style>
  <w:style w:type="paragraph" w:styleId="Heading3">
    <w:name w:val="heading 3"/>
    <w:basedOn w:val="NoSpacing"/>
    <w:next w:val="Normal"/>
    <w:link w:val="Heading3Char"/>
    <w:uiPriority w:val="9"/>
    <w:unhideWhenUsed/>
    <w:qFormat/>
    <w:rsid w:val="00F23CFE"/>
    <w:pPr>
      <w:outlineLvl w:val="2"/>
    </w:pPr>
    <w:rPr>
      <w:rFonts w:ascii="Segoe UI Semibold" w:hAnsi="Segoe UI Semibold" w:cstheme="majorHAnsi"/>
      <w:bC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664A"/>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A9664A"/>
    <w:rPr>
      <w:rFonts w:ascii="Tahoma" w:hAnsi="Tahoma" w:cs="Tahoma"/>
      <w:sz w:val="16"/>
      <w:szCs w:val="16"/>
    </w:rPr>
  </w:style>
  <w:style w:type="paragraph" w:styleId="ListParagraph">
    <w:name w:val="List Paragraph"/>
    <w:aliases w:val="Bullet List,FooterText,numbered,List Paragraph1,Paragraphe de liste1,Bulletr List Paragraph,列出段落,列出段落1,List Paragraph2,List Paragraph21,Listeafsnit1,Parágrafo da Lista1,Párrafo de lista1,リスト段落1,Bullet list,List Paragraph11"/>
    <w:basedOn w:val="Normal"/>
    <w:link w:val="ListParagraphChar"/>
    <w:uiPriority w:val="34"/>
    <w:qFormat/>
    <w:rsid w:val="00AB245C"/>
    <w:pPr>
      <w:numPr>
        <w:numId w:val="2"/>
      </w:numPr>
      <w:contextualSpacing/>
    </w:pPr>
  </w:style>
  <w:style w:type="paragraph" w:styleId="Header">
    <w:name w:val="header"/>
    <w:basedOn w:val="Normal"/>
    <w:link w:val="HeaderChar"/>
    <w:uiPriority w:val="99"/>
    <w:unhideWhenUsed/>
    <w:rsid w:val="00DD66DC"/>
    <w:pPr>
      <w:tabs>
        <w:tab w:val="center" w:pos="4680"/>
        <w:tab w:val="right" w:pos="9360"/>
      </w:tabs>
      <w:spacing w:after="0"/>
    </w:pPr>
  </w:style>
  <w:style w:type="character" w:customStyle="1" w:styleId="HeaderChar">
    <w:name w:val="Header Char"/>
    <w:basedOn w:val="DefaultParagraphFont"/>
    <w:link w:val="Header"/>
    <w:uiPriority w:val="99"/>
    <w:rsid w:val="00DD66DC"/>
  </w:style>
  <w:style w:type="paragraph" w:styleId="Footer">
    <w:name w:val="footer"/>
    <w:basedOn w:val="Normal"/>
    <w:link w:val="FooterChar"/>
    <w:uiPriority w:val="99"/>
    <w:unhideWhenUsed/>
    <w:rsid w:val="00DD66DC"/>
    <w:pPr>
      <w:tabs>
        <w:tab w:val="center" w:pos="4680"/>
        <w:tab w:val="right" w:pos="9360"/>
      </w:tabs>
      <w:spacing w:after="0"/>
    </w:pPr>
  </w:style>
  <w:style w:type="character" w:customStyle="1" w:styleId="FooterChar">
    <w:name w:val="Footer Char"/>
    <w:basedOn w:val="DefaultParagraphFont"/>
    <w:link w:val="Footer"/>
    <w:uiPriority w:val="99"/>
    <w:rsid w:val="00DD66DC"/>
  </w:style>
  <w:style w:type="paragraph" w:styleId="NoSpacing">
    <w:name w:val="No Spacing"/>
    <w:link w:val="NoSpacingChar"/>
    <w:uiPriority w:val="1"/>
    <w:qFormat/>
    <w:rsid w:val="0084029F"/>
    <w:pPr>
      <w:spacing w:after="0" w:line="216" w:lineRule="auto"/>
    </w:pPr>
    <w:rPr>
      <w:rFonts w:ascii="Calibri" w:eastAsia="Calibri" w:hAnsi="Calibri" w:cs="Times New Roman"/>
    </w:rPr>
  </w:style>
  <w:style w:type="character" w:styleId="CommentReference">
    <w:name w:val="annotation reference"/>
    <w:basedOn w:val="DefaultParagraphFont"/>
    <w:uiPriority w:val="99"/>
    <w:semiHidden/>
    <w:rsid w:val="00633146"/>
    <w:rPr>
      <w:rFonts w:cs="Times New Roman"/>
      <w:sz w:val="16"/>
      <w:szCs w:val="16"/>
    </w:rPr>
  </w:style>
  <w:style w:type="paragraph" w:styleId="CommentText">
    <w:name w:val="annotation text"/>
    <w:basedOn w:val="Normal"/>
    <w:link w:val="CommentTextChar"/>
    <w:uiPriority w:val="99"/>
    <w:rsid w:val="00633146"/>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633146"/>
    <w:rPr>
      <w:rFonts w:ascii="Calibri" w:eastAsia="Calibri" w:hAnsi="Calibri" w:cs="Times New Roman"/>
      <w:sz w:val="20"/>
      <w:szCs w:val="20"/>
    </w:rPr>
  </w:style>
  <w:style w:type="character" w:customStyle="1" w:styleId="NoSpacingChar">
    <w:name w:val="No Spacing Char"/>
    <w:basedOn w:val="DefaultParagraphFont"/>
    <w:link w:val="NoSpacing"/>
    <w:uiPriority w:val="1"/>
    <w:locked/>
    <w:rsid w:val="0084029F"/>
    <w:rPr>
      <w:rFonts w:ascii="Calibri" w:eastAsia="Calibri" w:hAnsi="Calibri" w:cs="Times New Roman"/>
    </w:rPr>
  </w:style>
  <w:style w:type="character" w:customStyle="1" w:styleId="ListParagraphChar">
    <w:name w:val="List Paragraph Char"/>
    <w:aliases w:val="Bullet List Char,FooterText Char,numbered Char,List Paragraph1 Char,Paragraphe de liste1 Char,Bulletr List Paragraph Char,列出段落 Char,列出段落1 Char,List Paragraph2 Char,List Paragraph21 Char,Listeafsnit1 Char,Parágrafo da Lista1 Char"/>
    <w:basedOn w:val="DefaultParagraphFont"/>
    <w:link w:val="ListParagraph"/>
    <w:uiPriority w:val="34"/>
    <w:rsid w:val="00AB245C"/>
    <w:rPr>
      <w:sz w:val="18"/>
    </w:rPr>
  </w:style>
  <w:style w:type="paragraph" w:styleId="NormalWeb">
    <w:name w:val="Normal (Web)"/>
    <w:basedOn w:val="Normal"/>
    <w:uiPriority w:val="99"/>
    <w:unhideWhenUsed/>
    <w:rsid w:val="006A0669"/>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F57AC"/>
    <w:rPr>
      <w:rFonts w:ascii="Segoe Condensed" w:hAnsi="Segoe Condensed" w:cstheme="majorHAnsi"/>
      <w:b/>
      <w:color w:val="943634" w:themeColor="accent2" w:themeShade="BF"/>
      <w:sz w:val="36"/>
      <w:szCs w:val="36"/>
    </w:rPr>
  </w:style>
  <w:style w:type="character" w:customStyle="1" w:styleId="Heading2Char">
    <w:name w:val="Heading 2 Char"/>
    <w:basedOn w:val="DefaultParagraphFont"/>
    <w:link w:val="Heading2"/>
    <w:uiPriority w:val="9"/>
    <w:rsid w:val="00DB19CB"/>
    <w:rPr>
      <w:rFonts w:ascii="Segoe UI Light" w:hAnsi="Segoe UI Light" w:cstheme="minorHAnsi"/>
      <w:b/>
      <w:color w:val="C0504D" w:themeColor="accent2"/>
      <w:sz w:val="32"/>
    </w:rPr>
  </w:style>
  <w:style w:type="character" w:customStyle="1" w:styleId="Heading3Char">
    <w:name w:val="Heading 3 Char"/>
    <w:basedOn w:val="DefaultParagraphFont"/>
    <w:link w:val="Heading3"/>
    <w:uiPriority w:val="9"/>
    <w:rsid w:val="00F23CFE"/>
    <w:rPr>
      <w:rFonts w:ascii="Segoe UI Semibold" w:eastAsia="Calibri" w:hAnsi="Segoe UI Semibold" w:cstheme="majorHAnsi"/>
      <w:bCs/>
      <w:color w:val="000000"/>
      <w:sz w:val="28"/>
    </w:rPr>
  </w:style>
  <w:style w:type="paragraph" w:customStyle="1" w:styleId="List2">
    <w:name w:val="List2"/>
    <w:basedOn w:val="NoSpacing"/>
    <w:link w:val="List2Char"/>
    <w:qFormat/>
    <w:rsid w:val="00DB19CB"/>
    <w:pPr>
      <w:numPr>
        <w:numId w:val="1"/>
      </w:numPr>
    </w:pPr>
    <w:rPr>
      <w:rFonts w:asciiTheme="majorHAnsi" w:hAnsiTheme="majorHAnsi" w:cstheme="majorHAnsi"/>
      <w:bCs/>
    </w:rPr>
  </w:style>
  <w:style w:type="character" w:customStyle="1" w:styleId="List2Char">
    <w:name w:val="List2 Char"/>
    <w:basedOn w:val="NoSpacingChar"/>
    <w:link w:val="List2"/>
    <w:rsid w:val="00DB19CB"/>
    <w:rPr>
      <w:rFonts w:asciiTheme="majorHAnsi" w:eastAsia="Calibri" w:hAnsiTheme="majorHAnsi" w:cstheme="majorHAnsi"/>
      <w:bCs/>
    </w:rPr>
  </w:style>
  <w:style w:type="table" w:styleId="TableGrid">
    <w:name w:val="Table Grid"/>
    <w:basedOn w:val="TableNormal"/>
    <w:uiPriority w:val="59"/>
    <w:rsid w:val="006746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4068EA"/>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4068EA"/>
    <w:rPr>
      <w:rFonts w:ascii="Calibri" w:eastAsia="Calibri" w:hAnsi="Calibri" w:cs="Times New Roman"/>
      <w:b/>
      <w:bCs/>
      <w:sz w:val="20"/>
      <w:szCs w:val="20"/>
    </w:rPr>
  </w:style>
  <w:style w:type="paragraph" w:customStyle="1" w:styleId="VLBodyHead">
    <w:name w:val="VL Body Head"/>
    <w:basedOn w:val="Normal"/>
    <w:link w:val="VLBodyHeadChar"/>
    <w:qFormat/>
    <w:rsid w:val="00A07A2B"/>
    <w:pPr>
      <w:spacing w:before="200" w:after="0" w:line="270" w:lineRule="exact"/>
    </w:pPr>
    <w:rPr>
      <w:rFonts w:ascii="Segoe UI Semibold" w:eastAsiaTheme="minorHAnsi" w:hAnsi="Segoe UI Semibold"/>
      <w:b/>
      <w:color w:val="404040" w:themeColor="text1" w:themeTint="BF"/>
    </w:rPr>
  </w:style>
  <w:style w:type="paragraph" w:customStyle="1" w:styleId="VLBodyCopy">
    <w:name w:val="VL Body Copy"/>
    <w:basedOn w:val="Normal"/>
    <w:link w:val="VLBodyCopyChar"/>
    <w:qFormat/>
    <w:rsid w:val="00A8627F"/>
    <w:pPr>
      <w:spacing w:after="200" w:line="270" w:lineRule="exact"/>
    </w:pPr>
    <w:rPr>
      <w:rFonts w:ascii="Segoe UI" w:eastAsiaTheme="minorHAnsi" w:hAnsi="Segoe UI"/>
      <w:color w:val="595959" w:themeColor="text1" w:themeTint="A6"/>
      <w:sz w:val="20"/>
    </w:rPr>
  </w:style>
  <w:style w:type="character" w:customStyle="1" w:styleId="VLBodyHeadChar">
    <w:name w:val="VL Body Head Char"/>
    <w:basedOn w:val="DefaultParagraphFont"/>
    <w:link w:val="VLBodyHead"/>
    <w:rsid w:val="00A07A2B"/>
    <w:rPr>
      <w:rFonts w:ascii="Segoe UI Semibold" w:eastAsiaTheme="minorHAnsi" w:hAnsi="Segoe UI Semibold"/>
      <w:b/>
      <w:color w:val="404040" w:themeColor="text1" w:themeTint="BF"/>
      <w:sz w:val="18"/>
    </w:rPr>
  </w:style>
  <w:style w:type="character" w:customStyle="1" w:styleId="VLBodyCopyChar">
    <w:name w:val="VL Body Copy Char"/>
    <w:basedOn w:val="DefaultParagraphFont"/>
    <w:link w:val="VLBodyCopy"/>
    <w:rsid w:val="00A8627F"/>
    <w:rPr>
      <w:rFonts w:ascii="Segoe UI" w:eastAsiaTheme="minorHAnsi" w:hAnsi="Segoe UI"/>
      <w:color w:val="595959" w:themeColor="text1" w:themeTint="A6"/>
      <w:sz w:val="20"/>
    </w:rPr>
  </w:style>
  <w:style w:type="paragraph" w:customStyle="1" w:styleId="VLBodyBullet">
    <w:name w:val="VL Body Bullet"/>
    <w:basedOn w:val="VLBodyCopy"/>
    <w:link w:val="VLBodyBulletChar"/>
    <w:qFormat/>
    <w:rsid w:val="00F82BA9"/>
    <w:pPr>
      <w:numPr>
        <w:numId w:val="3"/>
      </w:numPr>
      <w:spacing w:after="60" w:line="240" w:lineRule="auto"/>
    </w:pPr>
    <w:rPr>
      <w:bCs/>
      <w:color w:val="404040" w:themeColor="text1" w:themeTint="BF"/>
      <w:sz w:val="24"/>
      <w:szCs w:val="24"/>
    </w:rPr>
  </w:style>
  <w:style w:type="character" w:customStyle="1" w:styleId="VLBodyBulletChar">
    <w:name w:val="VL Body Bullet Char"/>
    <w:basedOn w:val="VLBodyCopyChar"/>
    <w:link w:val="VLBodyBullet"/>
    <w:rsid w:val="00F82BA9"/>
    <w:rPr>
      <w:rFonts w:ascii="Segoe UI" w:eastAsiaTheme="minorHAnsi" w:hAnsi="Segoe UI"/>
      <w:bCs/>
      <w:color w:val="404040" w:themeColor="text1" w:themeTint="BF"/>
      <w:sz w:val="24"/>
      <w:szCs w:val="24"/>
    </w:rPr>
  </w:style>
  <w:style w:type="paragraph" w:customStyle="1" w:styleId="VLHead1">
    <w:name w:val="VL Head 1"/>
    <w:basedOn w:val="Normal"/>
    <w:link w:val="VLHead1Char"/>
    <w:qFormat/>
    <w:rsid w:val="001B70C4"/>
    <w:pPr>
      <w:spacing w:before="480" w:line="270" w:lineRule="exact"/>
    </w:pPr>
    <w:rPr>
      <w:rFonts w:ascii="Segoe UI" w:eastAsiaTheme="minorHAnsi" w:hAnsi="Segoe UI"/>
      <w:color w:val="6D1514"/>
      <w:sz w:val="25"/>
      <w:szCs w:val="24"/>
    </w:rPr>
  </w:style>
  <w:style w:type="character" w:customStyle="1" w:styleId="VLHead1Char">
    <w:name w:val="VL Head 1 Char"/>
    <w:basedOn w:val="DefaultParagraphFont"/>
    <w:link w:val="VLHead1"/>
    <w:rsid w:val="001B70C4"/>
    <w:rPr>
      <w:rFonts w:ascii="Segoe UI" w:eastAsiaTheme="minorHAnsi" w:hAnsi="Segoe UI"/>
      <w:color w:val="6D1514"/>
      <w:sz w:val="25"/>
      <w:szCs w:val="24"/>
    </w:rPr>
  </w:style>
  <w:style w:type="character" w:styleId="Hyperlink">
    <w:name w:val="Hyperlink"/>
    <w:basedOn w:val="DefaultParagraphFont"/>
    <w:uiPriority w:val="99"/>
    <w:unhideWhenUsed/>
    <w:rsid w:val="000F38AB"/>
    <w:rPr>
      <w:color w:val="0000FF" w:themeColor="hyperlink"/>
      <w:u w:val="single"/>
    </w:rPr>
  </w:style>
  <w:style w:type="paragraph" w:styleId="Revision">
    <w:name w:val="Revision"/>
    <w:hidden/>
    <w:uiPriority w:val="99"/>
    <w:semiHidden/>
    <w:rsid w:val="00AC027A"/>
    <w:pPr>
      <w:spacing w:after="0" w:line="240" w:lineRule="auto"/>
    </w:pPr>
  </w:style>
  <w:style w:type="character" w:styleId="Strong">
    <w:name w:val="Strong"/>
    <w:basedOn w:val="DefaultParagraphFont"/>
    <w:uiPriority w:val="22"/>
    <w:qFormat/>
    <w:rsid w:val="009B07EB"/>
    <w:rPr>
      <w:b/>
      <w:bCs/>
    </w:rPr>
  </w:style>
  <w:style w:type="paragraph" w:customStyle="1" w:styleId="Text">
    <w:name w:val="Text"/>
    <w:aliases w:val="t"/>
    <w:link w:val="TextChar"/>
    <w:uiPriority w:val="99"/>
    <w:rsid w:val="001B1AA1"/>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1B1AA1"/>
    <w:rPr>
      <w:rFonts w:ascii="Verdana" w:eastAsia="Times New Roman" w:hAnsi="Verdana" w:cs="Times New Roman"/>
      <w:color w:val="000000"/>
      <w:sz w:val="20"/>
      <w:szCs w:val="20"/>
    </w:rPr>
  </w:style>
  <w:style w:type="paragraph" w:customStyle="1" w:styleId="Body">
    <w:name w:val="Body"/>
    <w:basedOn w:val="Normal"/>
    <w:link w:val="BodyChar"/>
    <w:qFormat/>
    <w:rsid w:val="00F82BA9"/>
    <w:pPr>
      <w:spacing w:line="240" w:lineRule="auto"/>
    </w:pPr>
    <w:rPr>
      <w:color w:val="404040" w:themeColor="text1" w:themeTint="BF"/>
      <w:sz w:val="24"/>
      <w:szCs w:val="24"/>
    </w:rPr>
  </w:style>
  <w:style w:type="paragraph" w:customStyle="1" w:styleId="Notes">
    <w:name w:val="Notes"/>
    <w:basedOn w:val="Normal"/>
    <w:link w:val="NotesChar"/>
    <w:qFormat/>
    <w:rsid w:val="00C32776"/>
    <w:pPr>
      <w:spacing w:before="120" w:after="240"/>
    </w:pPr>
    <w:rPr>
      <w:rFonts w:cstheme="minorHAnsi"/>
      <w:i/>
      <w:color w:val="000000"/>
      <w:szCs w:val="24"/>
    </w:rPr>
  </w:style>
  <w:style w:type="character" w:customStyle="1" w:styleId="BodyChar">
    <w:name w:val="Body Char"/>
    <w:basedOn w:val="DefaultParagraphFont"/>
    <w:link w:val="Body"/>
    <w:rsid w:val="00F82BA9"/>
    <w:rPr>
      <w:color w:val="404040" w:themeColor="text1" w:themeTint="BF"/>
      <w:sz w:val="24"/>
      <w:szCs w:val="24"/>
    </w:rPr>
  </w:style>
  <w:style w:type="character" w:customStyle="1" w:styleId="NotesChar">
    <w:name w:val="Notes Char"/>
    <w:basedOn w:val="DefaultParagraphFont"/>
    <w:link w:val="Notes"/>
    <w:rsid w:val="00C32776"/>
    <w:rPr>
      <w:rFonts w:cstheme="minorHAnsi"/>
      <w:i/>
      <w:color w:val="000000"/>
      <w:sz w:val="18"/>
      <w:szCs w:val="24"/>
    </w:rPr>
  </w:style>
  <w:style w:type="paragraph" w:styleId="TOC2">
    <w:name w:val="toc 2"/>
    <w:basedOn w:val="Normal"/>
    <w:next w:val="Normal"/>
    <w:autoRedefine/>
    <w:uiPriority w:val="39"/>
    <w:semiHidden/>
    <w:unhideWhenUsed/>
    <w:qFormat/>
    <w:rsid w:val="001C3A3A"/>
    <w:pPr>
      <w:tabs>
        <w:tab w:val="left" w:pos="660"/>
        <w:tab w:val="right" w:leader="dot" w:pos="9350"/>
      </w:tabs>
      <w:spacing w:after="100" w:line="276" w:lineRule="auto"/>
      <w:ind w:left="220" w:right="720"/>
    </w:pPr>
    <w:rPr>
      <w:rFonts w:eastAsiaTheme="minorHAnsi"/>
      <w:b/>
      <w:noProof/>
      <w:sz w:val="22"/>
    </w:rPr>
  </w:style>
  <w:style w:type="paragraph" w:styleId="TOC3">
    <w:name w:val="toc 3"/>
    <w:basedOn w:val="Normal"/>
    <w:next w:val="Normal"/>
    <w:autoRedefine/>
    <w:uiPriority w:val="39"/>
    <w:semiHidden/>
    <w:unhideWhenUsed/>
    <w:qFormat/>
    <w:rsid w:val="001C3A3A"/>
    <w:pPr>
      <w:spacing w:after="100" w:line="276" w:lineRule="auto"/>
      <w:ind w:left="440"/>
    </w:pPr>
    <w:rPr>
      <w:sz w:val="22"/>
      <w:lang w:eastAsia="ja-JP"/>
    </w:rPr>
  </w:style>
  <w:style w:type="paragraph" w:styleId="TOCHeading">
    <w:name w:val="TOC Heading"/>
    <w:basedOn w:val="Heading1"/>
    <w:next w:val="Normal"/>
    <w:uiPriority w:val="39"/>
    <w:semiHidden/>
    <w:unhideWhenUsed/>
    <w:qFormat/>
    <w:rsid w:val="001C3A3A"/>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7296">
      <w:bodyDiv w:val="1"/>
      <w:marLeft w:val="0"/>
      <w:marRight w:val="0"/>
      <w:marTop w:val="0"/>
      <w:marBottom w:val="0"/>
      <w:divBdr>
        <w:top w:val="none" w:sz="0" w:space="0" w:color="auto"/>
        <w:left w:val="none" w:sz="0" w:space="0" w:color="auto"/>
        <w:bottom w:val="none" w:sz="0" w:space="0" w:color="auto"/>
        <w:right w:val="none" w:sz="0" w:space="0" w:color="auto"/>
      </w:divBdr>
    </w:div>
    <w:div w:id="204342174">
      <w:bodyDiv w:val="1"/>
      <w:marLeft w:val="0"/>
      <w:marRight w:val="0"/>
      <w:marTop w:val="0"/>
      <w:marBottom w:val="0"/>
      <w:divBdr>
        <w:top w:val="none" w:sz="0" w:space="0" w:color="auto"/>
        <w:left w:val="none" w:sz="0" w:space="0" w:color="auto"/>
        <w:bottom w:val="none" w:sz="0" w:space="0" w:color="auto"/>
        <w:right w:val="none" w:sz="0" w:space="0" w:color="auto"/>
      </w:divBdr>
    </w:div>
    <w:div w:id="259415853">
      <w:bodyDiv w:val="1"/>
      <w:marLeft w:val="0"/>
      <w:marRight w:val="0"/>
      <w:marTop w:val="0"/>
      <w:marBottom w:val="0"/>
      <w:divBdr>
        <w:top w:val="none" w:sz="0" w:space="0" w:color="auto"/>
        <w:left w:val="none" w:sz="0" w:space="0" w:color="auto"/>
        <w:bottom w:val="none" w:sz="0" w:space="0" w:color="auto"/>
        <w:right w:val="none" w:sz="0" w:space="0" w:color="auto"/>
      </w:divBdr>
    </w:div>
    <w:div w:id="357242028">
      <w:bodyDiv w:val="1"/>
      <w:marLeft w:val="0"/>
      <w:marRight w:val="0"/>
      <w:marTop w:val="0"/>
      <w:marBottom w:val="0"/>
      <w:divBdr>
        <w:top w:val="none" w:sz="0" w:space="0" w:color="auto"/>
        <w:left w:val="none" w:sz="0" w:space="0" w:color="auto"/>
        <w:bottom w:val="none" w:sz="0" w:space="0" w:color="auto"/>
        <w:right w:val="none" w:sz="0" w:space="0" w:color="auto"/>
      </w:divBdr>
    </w:div>
    <w:div w:id="545336207">
      <w:bodyDiv w:val="1"/>
      <w:marLeft w:val="0"/>
      <w:marRight w:val="0"/>
      <w:marTop w:val="0"/>
      <w:marBottom w:val="0"/>
      <w:divBdr>
        <w:top w:val="none" w:sz="0" w:space="0" w:color="auto"/>
        <w:left w:val="none" w:sz="0" w:space="0" w:color="auto"/>
        <w:bottom w:val="none" w:sz="0" w:space="0" w:color="auto"/>
        <w:right w:val="none" w:sz="0" w:space="0" w:color="auto"/>
      </w:divBdr>
    </w:div>
    <w:div w:id="576596308">
      <w:bodyDiv w:val="1"/>
      <w:marLeft w:val="0"/>
      <w:marRight w:val="0"/>
      <w:marTop w:val="0"/>
      <w:marBottom w:val="0"/>
      <w:divBdr>
        <w:top w:val="none" w:sz="0" w:space="0" w:color="auto"/>
        <w:left w:val="none" w:sz="0" w:space="0" w:color="auto"/>
        <w:bottom w:val="none" w:sz="0" w:space="0" w:color="auto"/>
        <w:right w:val="none" w:sz="0" w:space="0" w:color="auto"/>
      </w:divBdr>
    </w:div>
    <w:div w:id="630943483">
      <w:bodyDiv w:val="1"/>
      <w:marLeft w:val="0"/>
      <w:marRight w:val="0"/>
      <w:marTop w:val="0"/>
      <w:marBottom w:val="0"/>
      <w:divBdr>
        <w:top w:val="none" w:sz="0" w:space="0" w:color="auto"/>
        <w:left w:val="none" w:sz="0" w:space="0" w:color="auto"/>
        <w:bottom w:val="none" w:sz="0" w:space="0" w:color="auto"/>
        <w:right w:val="none" w:sz="0" w:space="0" w:color="auto"/>
      </w:divBdr>
      <w:divsChild>
        <w:div w:id="1688873164">
          <w:marLeft w:val="274"/>
          <w:marRight w:val="0"/>
          <w:marTop w:val="0"/>
          <w:marBottom w:val="0"/>
          <w:divBdr>
            <w:top w:val="none" w:sz="0" w:space="0" w:color="auto"/>
            <w:left w:val="none" w:sz="0" w:space="0" w:color="auto"/>
            <w:bottom w:val="none" w:sz="0" w:space="0" w:color="auto"/>
            <w:right w:val="none" w:sz="0" w:space="0" w:color="auto"/>
          </w:divBdr>
        </w:div>
        <w:div w:id="1674187664">
          <w:marLeft w:val="274"/>
          <w:marRight w:val="0"/>
          <w:marTop w:val="0"/>
          <w:marBottom w:val="0"/>
          <w:divBdr>
            <w:top w:val="none" w:sz="0" w:space="0" w:color="auto"/>
            <w:left w:val="none" w:sz="0" w:space="0" w:color="auto"/>
            <w:bottom w:val="none" w:sz="0" w:space="0" w:color="auto"/>
            <w:right w:val="none" w:sz="0" w:space="0" w:color="auto"/>
          </w:divBdr>
        </w:div>
        <w:div w:id="1589269170">
          <w:marLeft w:val="274"/>
          <w:marRight w:val="0"/>
          <w:marTop w:val="0"/>
          <w:marBottom w:val="0"/>
          <w:divBdr>
            <w:top w:val="none" w:sz="0" w:space="0" w:color="auto"/>
            <w:left w:val="none" w:sz="0" w:space="0" w:color="auto"/>
            <w:bottom w:val="none" w:sz="0" w:space="0" w:color="auto"/>
            <w:right w:val="none" w:sz="0" w:space="0" w:color="auto"/>
          </w:divBdr>
        </w:div>
      </w:divsChild>
    </w:div>
    <w:div w:id="1050112868">
      <w:bodyDiv w:val="1"/>
      <w:marLeft w:val="0"/>
      <w:marRight w:val="0"/>
      <w:marTop w:val="0"/>
      <w:marBottom w:val="0"/>
      <w:divBdr>
        <w:top w:val="none" w:sz="0" w:space="0" w:color="auto"/>
        <w:left w:val="none" w:sz="0" w:space="0" w:color="auto"/>
        <w:bottom w:val="none" w:sz="0" w:space="0" w:color="auto"/>
        <w:right w:val="none" w:sz="0" w:space="0" w:color="auto"/>
      </w:divBdr>
    </w:div>
    <w:div w:id="1092512839">
      <w:bodyDiv w:val="1"/>
      <w:marLeft w:val="0"/>
      <w:marRight w:val="0"/>
      <w:marTop w:val="0"/>
      <w:marBottom w:val="0"/>
      <w:divBdr>
        <w:top w:val="none" w:sz="0" w:space="0" w:color="auto"/>
        <w:left w:val="none" w:sz="0" w:space="0" w:color="auto"/>
        <w:bottom w:val="none" w:sz="0" w:space="0" w:color="auto"/>
        <w:right w:val="none" w:sz="0" w:space="0" w:color="auto"/>
      </w:divBdr>
    </w:div>
    <w:div w:id="1218976013">
      <w:bodyDiv w:val="1"/>
      <w:marLeft w:val="0"/>
      <w:marRight w:val="0"/>
      <w:marTop w:val="0"/>
      <w:marBottom w:val="0"/>
      <w:divBdr>
        <w:top w:val="none" w:sz="0" w:space="0" w:color="auto"/>
        <w:left w:val="none" w:sz="0" w:space="0" w:color="auto"/>
        <w:bottom w:val="none" w:sz="0" w:space="0" w:color="auto"/>
        <w:right w:val="none" w:sz="0" w:space="0" w:color="auto"/>
      </w:divBdr>
    </w:div>
    <w:div w:id="1409115976">
      <w:bodyDiv w:val="1"/>
      <w:marLeft w:val="0"/>
      <w:marRight w:val="0"/>
      <w:marTop w:val="0"/>
      <w:marBottom w:val="0"/>
      <w:divBdr>
        <w:top w:val="none" w:sz="0" w:space="0" w:color="auto"/>
        <w:left w:val="none" w:sz="0" w:space="0" w:color="auto"/>
        <w:bottom w:val="none" w:sz="0" w:space="0" w:color="auto"/>
        <w:right w:val="none" w:sz="0" w:space="0" w:color="auto"/>
      </w:divBdr>
    </w:div>
    <w:div w:id="1931305976">
      <w:bodyDiv w:val="1"/>
      <w:marLeft w:val="0"/>
      <w:marRight w:val="0"/>
      <w:marTop w:val="0"/>
      <w:marBottom w:val="0"/>
      <w:divBdr>
        <w:top w:val="none" w:sz="0" w:space="0" w:color="auto"/>
        <w:left w:val="none" w:sz="0" w:space="0" w:color="auto"/>
        <w:bottom w:val="none" w:sz="0" w:space="0" w:color="auto"/>
        <w:right w:val="none" w:sz="0" w:space="0" w:color="auto"/>
      </w:divBdr>
      <w:divsChild>
        <w:div w:id="1077286755">
          <w:marLeft w:val="3067"/>
          <w:marRight w:val="0"/>
          <w:marTop w:val="60"/>
          <w:marBottom w:val="60"/>
          <w:divBdr>
            <w:top w:val="none" w:sz="0" w:space="0" w:color="auto"/>
            <w:left w:val="none" w:sz="0" w:space="0" w:color="auto"/>
            <w:bottom w:val="none" w:sz="0" w:space="0" w:color="auto"/>
            <w:right w:val="none" w:sz="0" w:space="0" w:color="auto"/>
          </w:divBdr>
        </w:div>
        <w:div w:id="310402748">
          <w:marLeft w:val="3067"/>
          <w:marRight w:val="0"/>
          <w:marTop w:val="60"/>
          <w:marBottom w:val="60"/>
          <w:divBdr>
            <w:top w:val="none" w:sz="0" w:space="0" w:color="auto"/>
            <w:left w:val="none" w:sz="0" w:space="0" w:color="auto"/>
            <w:bottom w:val="none" w:sz="0" w:space="0" w:color="auto"/>
            <w:right w:val="none" w:sz="0" w:space="0" w:color="auto"/>
          </w:divBdr>
        </w:div>
      </w:divsChild>
    </w:div>
    <w:div w:id="2021395368">
      <w:bodyDiv w:val="1"/>
      <w:marLeft w:val="0"/>
      <w:marRight w:val="0"/>
      <w:marTop w:val="0"/>
      <w:marBottom w:val="0"/>
      <w:divBdr>
        <w:top w:val="none" w:sz="0" w:space="0" w:color="auto"/>
        <w:left w:val="none" w:sz="0" w:space="0" w:color="auto"/>
        <w:bottom w:val="none" w:sz="0" w:space="0" w:color="auto"/>
        <w:right w:val="none" w:sz="0" w:space="0" w:color="auto"/>
      </w:divBdr>
    </w:div>
    <w:div w:id="209488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oleObject" Target="embeddings/oleObject1.bin"/><Relationship Id="rId39" Type="http://schemas.openxmlformats.org/officeDocument/2006/relationships/hyperlink" Target="file:///C:\Users\jwelch\AppData\Local\Microsoft\Windows\Temporary%20Internet%20Files\Content.Outlook\8K4DB3DN\SQLServer2012_EditionsLicensing_FAQ_Mar2012.docx" TargetMode="External"/><Relationship Id="rId21" Type="http://schemas.openxmlformats.org/officeDocument/2006/relationships/image" Target="media/image7.png"/><Relationship Id="rId34" Type="http://schemas.openxmlformats.org/officeDocument/2006/relationships/oleObject" Target="embeddings/oleObject8.bin"/><Relationship Id="rId42" Type="http://schemas.openxmlformats.org/officeDocument/2006/relationships/hyperlink" Target="file:///C:\Users\jwelch\AppData\Local\Microsoft\Windows\Temporary%20Internet%20Files\Content.Outlook\8K4DB3DN\SQLServer2012_EditionsLicensing_FAQ_Mar2012.docx" TargetMode="External"/><Relationship Id="rId47" Type="http://schemas.openxmlformats.org/officeDocument/2006/relationships/hyperlink" Target="file:///C:\Users\jwelch\AppData\Local\Microsoft\Windows\Temporary%20Internet%20Files\Content.Outlook\8K4DB3DN\SQLServer2012_EditionsLicensing_FAQ_Mar2012.docx" TargetMode="External"/><Relationship Id="rId50" Type="http://schemas.openxmlformats.org/officeDocument/2006/relationships/hyperlink" Target="file:///C:\Users\jwelch\AppData\Local\Microsoft\Windows\Temporary%20Internet%20Files\Content.Outlook\8K4DB3DN\SQLServer2012_EditionsLicensing_FAQ_Mar2012.docx" TargetMode="External"/><Relationship Id="rId55" Type="http://schemas.openxmlformats.org/officeDocument/2006/relationships/hyperlink" Target="file:///C:\Users\jwelch\AppData\Local\Microsoft\Windows\Temporary%20Internet%20Files\Content.Outlook\8K4DB3DN\SQLServer2012_EditionsLicensing_FAQ_Mar2012.docx"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oleObject" Target="embeddings/oleObject7.bin"/><Relationship Id="rId38" Type="http://schemas.openxmlformats.org/officeDocument/2006/relationships/footer" Target="footer2.xml"/><Relationship Id="rId46" Type="http://schemas.openxmlformats.org/officeDocument/2006/relationships/hyperlink" Target="file:///C:\Users\jwelch\AppData\Local\Microsoft\Windows\Temporary%20Internet%20Files\Content.Outlook\8K4DB3DN\SQLServer2012_EditionsLicensing_FAQ_Mar2012.docx"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oleObject" Target="embeddings/oleObject3.bin"/><Relationship Id="rId41" Type="http://schemas.openxmlformats.org/officeDocument/2006/relationships/hyperlink" Target="file:///C:\Users\jwelch\AppData\Local\Microsoft\Windows\Temporary%20Internet%20Files\Content.Outlook\8K4DB3DN\SQLServer2012_EditionsLicensing_FAQ_Mar2012.docx" TargetMode="External"/><Relationship Id="rId54" Type="http://schemas.openxmlformats.org/officeDocument/2006/relationships/hyperlink" Target="file:///C:\Users\jwelch\AppData\Local\Microsoft\Windows\Temporary%20Internet%20Files\Content.Outlook\8K4DB3DN\SQLServer2012_EditionsLicensing_FAQ_Mar2012.doc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oleObject" Target="embeddings/oleObject6.bin"/><Relationship Id="rId37" Type="http://schemas.openxmlformats.org/officeDocument/2006/relationships/hyperlink" Target="http://www.microsoft.com/sqlserver" TargetMode="External"/><Relationship Id="rId40" Type="http://schemas.openxmlformats.org/officeDocument/2006/relationships/hyperlink" Target="file:///C:\Users\jwelch\AppData\Local\Microsoft\Windows\Temporary%20Internet%20Files\Content.Outlook\8K4DB3DN\SQLServer2012_EditionsLicensing_FAQ_Mar2012.docx" TargetMode="External"/><Relationship Id="rId45" Type="http://schemas.openxmlformats.org/officeDocument/2006/relationships/hyperlink" Target="file:///C:\Users\jwelch\AppData\Local\Microsoft\Windows\Temporary%20Internet%20Files\Content.Outlook\8K4DB3DN\SQLServer2012_EditionsLicensing_FAQ_Mar2012.docx" TargetMode="External"/><Relationship Id="rId53" Type="http://schemas.openxmlformats.org/officeDocument/2006/relationships/hyperlink" Target="file:///C:\Users\jwelch\AppData\Local\Microsoft\Windows\Temporary%20Internet%20Files\Content.Outlook\8K4DB3DN\SQLServer2012_EditionsLicensing_FAQ_Mar2012.docx" TargetMode="Externa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4.png"/><Relationship Id="rId49" Type="http://schemas.openxmlformats.org/officeDocument/2006/relationships/hyperlink" Target="file:///C:\Users\jwelch\AppData\Local\Microsoft\Windows\Temporary%20Internet%20Files\Content.Outlook\8K4DB3DN\SQLServer2012_EditionsLicensing_FAQ_Mar2012.docx" TargetMode="External"/><Relationship Id="rId57"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oleObject" Target="embeddings/oleObject5.bin"/><Relationship Id="rId44" Type="http://schemas.openxmlformats.org/officeDocument/2006/relationships/hyperlink" Target="file:///C:\Users\jwelch\AppData\Local\Microsoft\Windows\Temporary%20Internet%20Files\Content.Outlook\8K4DB3DN\SQLServer2012_EditionsLicensing_FAQ_Mar2012.docx" TargetMode="External"/><Relationship Id="rId52" Type="http://schemas.openxmlformats.org/officeDocument/2006/relationships/hyperlink" Target="file:///C:\Users\jwelch\AppData\Local\Microsoft\Windows\Temporary%20Internet%20Files\Content.Outlook\8K4DB3DN\SQLServer2012_EditionsLicensing_FAQ_Mar2012.docx"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oleObject" Target="embeddings/oleObject2.bin"/><Relationship Id="rId30" Type="http://schemas.openxmlformats.org/officeDocument/2006/relationships/oleObject" Target="embeddings/oleObject4.bin"/><Relationship Id="rId35" Type="http://schemas.openxmlformats.org/officeDocument/2006/relationships/image" Target="media/image13.png"/><Relationship Id="rId43" Type="http://schemas.openxmlformats.org/officeDocument/2006/relationships/hyperlink" Target="file:///C:\Users\jwelch\AppData\Local\Microsoft\Windows\Temporary%20Internet%20Files\Content.Outlook\8K4DB3DN\SQLServer2012_EditionsLicensing_FAQ_Mar2012.docx" TargetMode="External"/><Relationship Id="rId48" Type="http://schemas.openxmlformats.org/officeDocument/2006/relationships/hyperlink" Target="file:///C:\Users\jwelch\AppData\Local\Microsoft\Windows\Temporary%20Internet%20Files\Content.Outlook\8K4DB3DN\SQLServer2012_EditionsLicensing_FAQ_Mar2012.docx" TargetMode="External"/><Relationship Id="rId56" Type="http://schemas.openxmlformats.org/officeDocument/2006/relationships/hyperlink" Target="file:///C:\Users\jwelch\AppData\Local\Microsoft\Windows\Temporary%20Internet%20Files\Content.Outlook\8K4DB3DN\SQLServer2012_EditionsLicensing_FAQ_Mar2012.docx" TargetMode="External"/><Relationship Id="rId8" Type="http://schemas.openxmlformats.org/officeDocument/2006/relationships/styles" Target="styles.xml"/><Relationship Id="rId51" Type="http://schemas.openxmlformats.org/officeDocument/2006/relationships/hyperlink" Target="file:///C:\Users\jwelch\AppData\Local\Microsoft\Windows\Temporary%20Internet%20Files\Content.Outlook\8K4DB3DN\SQLServer2012_EditionsLicensing_FAQ_Mar2012.docx"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erver_Denali">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KCDoc" ma:contentTypeID="0x010100FF1FAB0DEDE9AF4ABA57B67AF4A9F3210200596A0E07C3E77448942F9A5D1E81E582" ma:contentTypeVersion="46" ma:contentTypeDescription="" ma:contentTypeScope="" ma:versionID="261c57dcb59118c4bd7435417289aeee">
  <xsd:schema xmlns:xsd="http://www.w3.org/2001/XMLSchema" xmlns:xs="http://www.w3.org/2001/XMLSchema" xmlns:p="http://schemas.microsoft.com/office/2006/metadata/properties" xmlns:ns1="http://schemas.microsoft.com/sharepoint/v3" xmlns:ns2="230e9df3-be65-4c73-a93b-d1236ebd677e" xmlns:ns3="4e240d41-6d38-4eac-9584-b3f543b50010" xmlns:ns4="http://schemas.microsoft.com/sharepoint/v4" targetNamespace="http://schemas.microsoft.com/office/2006/metadata/properties" ma:root="true" ma:fieldsID="3ea5f762a7c6218d3c64e8f98904ef95" ns1:_="" ns2:_="" ns3:_="" ns4:_="">
    <xsd:import namespace="http://schemas.microsoft.com/sharepoint/v3"/>
    <xsd:import namespace="230e9df3-be65-4c73-a93b-d1236ebd677e"/>
    <xsd:import namespace="4e240d41-6d38-4eac-9584-b3f543b50010"/>
    <xsd:import namespace="http://schemas.microsoft.com/sharepoint/v4"/>
    <xsd:element name="properties">
      <xsd:complexType>
        <xsd:sequence>
          <xsd:element name="documentManagement">
            <xsd:complexType>
              <xsd:all>
                <xsd:element ref="ns3:Thumbnail1" minOccurs="0"/>
                <xsd:element ref="ns3:DocumentDescription" minOccurs="0"/>
                <xsd:element ref="ns2:TaxKeywordTaxHTField" minOccurs="0"/>
                <xsd:element ref="ns2:TaxCatchAll" minOccurs="0"/>
                <xsd:element ref="ns2:TaxCatchAllLabel" minOccurs="0"/>
                <xsd:element ref="ns3:ItemTypeTaxHTField0" minOccurs="0"/>
                <xsd:element ref="ns1:AverageRating" minOccurs="0"/>
                <xsd:element ref="ns1:RatingCount" minOccurs="0"/>
                <xsd:element ref="ns2:_dlc_DocId" minOccurs="0"/>
                <xsd:element ref="ns2:_dlc_DocIdUrl" minOccurs="0"/>
                <xsd:element ref="ns2:_dlc_DocIdPersistId" minOccurs="0"/>
                <xsd:element ref="ns4:IconOverlay" minOccurs="0"/>
                <xsd:element ref="ns3:PartnersTaxHTField0" minOccurs="0"/>
                <xsd:element ref="ns3:CapabilitiesTaxHTField0" minOccurs="0"/>
                <xsd:element ref="ns3:RolesTaxHTField0" minOccurs="0"/>
                <xsd:element ref="ns3:ProductsTaxHTField0" minOccurs="0"/>
                <xsd:element ref="ns3:CompetitorsTaxHTField0" minOccurs="0"/>
                <xsd:element ref="ns3:SegmentsTaxHTField0" minOccurs="0"/>
                <xsd:element ref="ns3:IndustriesTaxHTField0" minOccurs="0"/>
                <xsd:element ref="ns3:AudiencesTaxHTField0" minOccurs="0"/>
                <xsd:element ref="ns3:RegionTaxHTField0" minOccurs="0"/>
                <xsd:element ref="ns3:ConfidentialityTaxHTField0" minOccurs="0"/>
                <xsd:element ref="ns3:BusinessArchitectureTaxHTField0" minOccurs="0"/>
                <xsd:element ref="ns3:TopicsTaxHTField0" minOccurs="0"/>
                <xsd:element ref="ns3:GroupsTaxHTField0" minOccurs="0"/>
                <xsd:element ref="ns3:CoOwner" minOccurs="0"/>
                <xsd:element ref="ns3:ActivitiesAndProgramsTaxHTField0" minOccurs="0"/>
                <xsd:element ref="ns3:Owner" minOccurs="0"/>
                <xsd:element ref="ns1:RoutingRuleDescription" minOccurs="0"/>
                <xsd:element ref="ns3:SMSGDomainTaxHTField0" minOccurs="0"/>
                <xsd:element ref="ns1:_vti_ItemDeclaredRecord" minOccurs="0"/>
                <xsd:element ref="ns1:_vti_ItemHoldRecordStatus" minOccurs="0"/>
                <xsd:element ref="ns3:Languages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4" nillable="true" ma:displayName="Rating (0-5)" ma:decimals="2" ma:description="Average value of all the ratings that have been submitted" ma:indexed="true" ma:internalName="Rating_x0020__x0028_0_x002d_5_x0029_" ma:readOnly="true">
      <xsd:simpleType>
        <xsd:restriction base="dms:Number"/>
      </xsd:simpleType>
    </xsd:element>
    <xsd:element name="RatingCount" ma:index="15" nillable="true" ma:displayName="Number of Ratings" ma:decimals="0" ma:description="Number of ratings submitted" ma:indexed="true" ma:internalName="Number_x0020_of_x0020_Ratings" ma:readOnly="true">
      <xsd:simpleType>
        <xsd:restriction base="dms:Number"/>
      </xsd:simpleType>
    </xsd:element>
    <xsd:element name="RoutingRuleDescription" ma:index="51" nillable="true" ma:displayName="Description" ma:hidden="true" ma:internalName="RoutingRuleDescription" ma:readOnly="false">
      <xsd:simpleType>
        <xsd:restriction base="dms:Text">
          <xsd:maxLength value="255"/>
        </xsd:restriction>
      </xsd:simpleType>
    </xsd:element>
    <xsd:element name="_vti_ItemDeclaredRecord" ma:index="57" nillable="true" ma:displayName="Declared Record" ma:hidden="true" ma:internalName="_vti_ItemDeclaredRecord" ma:readOnly="true">
      <xsd:simpleType>
        <xsd:restriction base="dms:DateTime"/>
      </xsd:simpleType>
    </xsd:element>
    <xsd:element name="_vti_ItemHoldRecordStatus" ma:index="58"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readOnly="true" ma:fieldId="{23f27201-bee3-471e-b2e7-b64fd8b7ca38}" ma:taxonomyMulti="true" ma:sspId="e385fb40-52d4-4fae-9c5b-3e8ff8a5878e"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cca7b197-9018-4002-9750-a2693d6b6f1f}" ma:internalName="TaxCatchAll" ma:showField="CatchAllData" ma:web="4e240d41-6d38-4eac-9584-b3f543b5001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ca7b197-9018-4002-9750-a2693d6b6f1f}" ma:internalName="TaxCatchAllLabel" ma:readOnly="true" ma:showField="CatchAllDataLabel" ma:web="4e240d41-6d38-4eac-9584-b3f543b50010">
      <xsd:complexType>
        <xsd:complexContent>
          <xsd:extension base="dms:MultiChoiceLookup">
            <xsd:sequence>
              <xsd:element name="Value" type="dms:Lookup" maxOccurs="unbounded" minOccurs="0" nillable="true"/>
            </xsd:sequence>
          </xsd:extension>
        </xsd:complexContent>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240d41-6d38-4eac-9584-b3f543b50010" elementFormDefault="qualified">
    <xsd:import namespace="http://schemas.microsoft.com/office/2006/documentManagement/types"/>
    <xsd:import namespace="http://schemas.microsoft.com/office/infopath/2007/PartnerControls"/>
    <xsd:element name="Thumbnail1" ma:index="5" nillable="true" ma:displayName="Thumbnail" ma:format="Hyperlink" ma:internalName="Thumbnail1">
      <xsd:complexType>
        <xsd:complexContent>
          <xsd:extension base="dms:URL">
            <xsd:sequence>
              <xsd:element name="Url" type="dms:ValidUrl" minOccurs="0" nillable="true"/>
              <xsd:element name="Description" type="xsd:string" nillable="true"/>
            </xsd:sequence>
          </xsd:extension>
        </xsd:complexContent>
      </xsd:complexType>
    </xsd:element>
    <xsd:element name="DocumentDescription" ma:index="6" nillable="true" ma:displayName="Document Description" ma:description="Document Description for document content type KCDoc" ma:internalName="DocumentDescription">
      <xsd:simpleType>
        <xsd:restriction base="dms:Note"/>
      </xsd:simpleType>
    </xsd:element>
    <xsd:element name="ItemTypeTaxHTField0" ma:index="12" nillable="true" ma:taxonomy="true" ma:internalName="ItemTypeTaxHTField0" ma:taxonomyFieldName="ItemType" ma:displayName="Item Type" ma:default="" ma:fieldId="{d147f11f-8a15-4fb8-8d37-5fb29263610d}" ma:taxonomyMulti="true" ma:sspId="e385fb40-52d4-4fae-9c5b-3e8ff8a5878e" ma:termSetId="a611a704-4666-406e-a571-a6e9bb4a2dcc" ma:anchorId="3d59bf14-be35-4b82-81a4-70bbe2a90cc2" ma:open="false" ma:isKeyword="false">
      <xsd:complexType>
        <xsd:sequence>
          <xsd:element ref="pc:Terms" minOccurs="0" maxOccurs="1"/>
        </xsd:sequence>
      </xsd:complexType>
    </xsd:element>
    <xsd:element name="PartnersTaxHTField0" ma:index="20" nillable="true" ma:taxonomy="true" ma:internalName="PartnersTaxHTField0" ma:taxonomyFieldName="Partners" ma:displayName="Partners" ma:readOnly="true" ma:default="" ma:fieldId="{7c281638-d92a-454e-b8fe-7088c941df66}" ma:taxonomyMulti="true" ma:sspId="e385fb40-52d4-4fae-9c5b-3e8ff8a5878e" ma:termSetId="a611a704-4666-406e-a571-a6e9bb4a2dcc" ma:anchorId="dd1a91fa-3198-4561-9b04-bc737b2a8291" ma:open="false" ma:isKeyword="false">
      <xsd:complexType>
        <xsd:sequence>
          <xsd:element ref="pc:Terms" minOccurs="0" maxOccurs="1"/>
        </xsd:sequence>
      </xsd:complexType>
    </xsd:element>
    <xsd:element name="CapabilitiesTaxHTField0" ma:index="22" nillable="true" ma:taxonomy="true" ma:internalName="CapabilitiesTaxHTField0" ma:taxonomyFieldName="Capabilities" ma:displayName="Capabilities" ma:readOnly="true" ma:default="" ma:fieldId="{4b2822d8-ca12-40bf-b3be-ff82055e8025}" ma:taxonomyMulti="true" ma:sspId="e385fb40-52d4-4fae-9c5b-3e8ff8a5878e" ma:termSetId="04211bf1-defe-49f2-9beb-9d8edf37d152" ma:anchorId="48e655f1-3316-4f2e-a42e-a42d1734479e" ma:open="false" ma:isKeyword="false">
      <xsd:complexType>
        <xsd:sequence>
          <xsd:element ref="pc:Terms" minOccurs="0" maxOccurs="1"/>
        </xsd:sequence>
      </xsd:complexType>
    </xsd:element>
    <xsd:element name="RolesTaxHTField0" ma:index="24" nillable="true" ma:taxonomy="true" ma:internalName="RolesTaxHTField0" ma:taxonomyFieldName="Roles" ma:displayName="Roles" ma:readOnly="true" ma:default="" ma:fieldId="{147013c4-c08e-4610-8a54-80ec865dae35}" ma:taxonomyMulti="true" ma:sspId="e385fb40-52d4-4fae-9c5b-3e8ff8a5878e" ma:termSetId="a611a704-4666-406e-a571-a6e9bb4a2dcc" ma:anchorId="c9a07ef0-4236-4915-97ca-1b3392dac369" ma:open="false" ma:isKeyword="false">
      <xsd:complexType>
        <xsd:sequence>
          <xsd:element ref="pc:Terms" minOccurs="0" maxOccurs="1"/>
        </xsd:sequence>
      </xsd:complexType>
    </xsd:element>
    <xsd:element name="ProductsTaxHTField0" ma:index="26" nillable="true" ma:taxonomy="true" ma:internalName="ProductsTaxHTField0" ma:taxonomyFieldName="Products" ma:displayName="Products &amp; Technologies" ma:default="" ma:fieldId="{461032cf-5451-4cac-8727-96de1535ed65}" ma:taxonomyMulti="true" ma:sspId="e385fb40-52d4-4fae-9c5b-3e8ff8a5878e" ma:termSetId="a611a704-4666-406e-a571-a6e9bb4a2dcc" ma:anchorId="f7bdd4ba-8e81-43d6-a504-860f505d5c97" ma:open="false" ma:isKeyword="false">
      <xsd:complexType>
        <xsd:sequence>
          <xsd:element ref="pc:Terms" minOccurs="0" maxOccurs="1"/>
        </xsd:sequence>
      </xsd:complexType>
    </xsd:element>
    <xsd:element name="CompetitorsTaxHTField0" ma:index="28" nillable="true" ma:taxonomy="true" ma:internalName="CompetitorsTaxHTField0" ma:taxonomyFieldName="Competitors" ma:displayName="Competition" ma:readOnly="true" ma:default="" ma:fieldId="{033f61ce-97ac-4204-9e44-87296a243ffe}" ma:taxonomyMulti="true" ma:sspId="e385fb40-52d4-4fae-9c5b-3e8ff8a5878e" ma:termSetId="a611a704-4666-406e-a571-a6e9bb4a2dcc" ma:anchorId="718f8fd0-b740-48bc-92ad-5700213c04b2" ma:open="false" ma:isKeyword="false">
      <xsd:complexType>
        <xsd:sequence>
          <xsd:element ref="pc:Terms" minOccurs="0" maxOccurs="1"/>
        </xsd:sequence>
      </xsd:complexType>
    </xsd:element>
    <xsd:element name="SegmentsTaxHTField0" ma:index="30" nillable="true" ma:taxonomy="true" ma:internalName="SegmentsTaxHTField0" ma:taxonomyFieldName="Segments" ma:displayName="Customer Segments" ma:default="" ma:fieldId="{5810de59-adc2-4212-9275-76550f6ccd4e}" ma:taxonomyMulti="true" ma:sspId="e385fb40-52d4-4fae-9c5b-3e8ff8a5878e" ma:termSetId="a611a704-4666-406e-a571-a6e9bb4a2dcc" ma:anchorId="dd7a2ee5-7d01-4a82-9346-1eefa47ece8b" ma:open="false" ma:isKeyword="false">
      <xsd:complexType>
        <xsd:sequence>
          <xsd:element ref="pc:Terms" minOccurs="0" maxOccurs="1"/>
        </xsd:sequence>
      </xsd:complexType>
    </xsd:element>
    <xsd:element name="IndustriesTaxHTField0" ma:index="32" nillable="true" ma:taxonomy="true" ma:internalName="IndustriesTaxHTField0" ma:taxonomyFieldName="Industries" ma:displayName="Industries" ma:default="" ma:fieldId="{28af9966-4172-49a2-8fcb-8642a15f1fc5}" ma:taxonomyMulti="true" ma:sspId="e385fb40-52d4-4fae-9c5b-3e8ff8a5878e" ma:termSetId="a611a704-4666-406e-a571-a6e9bb4a2dcc" ma:anchorId="322da17f-7441-43de-8ac8-ca7d62aec02b" ma:open="false" ma:isKeyword="false">
      <xsd:complexType>
        <xsd:sequence>
          <xsd:element ref="pc:Terms" minOccurs="0" maxOccurs="1"/>
        </xsd:sequence>
      </xsd:complexType>
    </xsd:element>
    <xsd:element name="AudiencesTaxHTField0" ma:index="34" nillable="true" ma:taxonomy="true" ma:internalName="AudiencesTaxHTField0" ma:taxonomyFieldName="Audiences" ma:displayName="Customer Audiences" ma:default="" ma:fieldId="{e142f759-3ac7-4b2f-96cb-1e9174b500b8}" ma:taxonomyMulti="true" ma:sspId="e385fb40-52d4-4fae-9c5b-3e8ff8a5878e" ma:termSetId="a611a704-4666-406e-a571-a6e9bb4a2dcc" ma:anchorId="8a0280e9-c6e8-4e3c-80d6-8db643b96ddd" ma:open="false" ma:isKeyword="false">
      <xsd:complexType>
        <xsd:sequence>
          <xsd:element ref="pc:Terms" minOccurs="0" maxOccurs="1"/>
        </xsd:sequence>
      </xsd:complexType>
    </xsd:element>
    <xsd:element name="RegionTaxHTField0" ma:index="36" nillable="true" ma:taxonomy="true" ma:internalName="RegionTaxHTField0" ma:taxonomyFieldName="Region" ma:displayName="Region" ma:default="" ma:fieldId="{4737695a-1cd7-4a2e-b339-4aad0188abb4}" ma:taxonomyMulti="true" ma:sspId="e385fb40-52d4-4fae-9c5b-3e8ff8a5878e" ma:termSetId="a611a704-4666-406e-a571-a6e9bb4a2dcc" ma:anchorId="c5404caa-7d82-41c6-82c2-0230c1d96864" ma:open="false" ma:isKeyword="false">
      <xsd:complexType>
        <xsd:sequence>
          <xsd:element ref="pc:Terms" minOccurs="0" maxOccurs="1"/>
        </xsd:sequence>
      </xsd:complexType>
    </xsd:element>
    <xsd:element name="ConfidentialityTaxHTField0" ma:index="38" nillable="true" ma:taxonomy="true" ma:internalName="ConfidentialityTaxHTField0" ma:taxonomyFieldName="Confidentiality" ma:displayName="Confidentiality" ma:indexed="true" ma:default="21;#Microsoft confidential|461efa83-0283-486a-a8d5-943328f3693f" ma:fieldId="{78ab4373-53e1-48d5-ab4d-d29698f3efd9}" ma:sspId="e385fb40-52d4-4fae-9c5b-3e8ff8a5878e" ma:termSetId="e0e820dc-7da0-48b9-8472-209c7e82d1d0" ma:anchorId="00000000-0000-0000-0000-000000000000" ma:open="false" ma:isKeyword="false">
      <xsd:complexType>
        <xsd:sequence>
          <xsd:element ref="pc:Terms" minOccurs="0" maxOccurs="1"/>
        </xsd:sequence>
      </xsd:complexType>
    </xsd:element>
    <xsd:element name="BusinessArchitectureTaxHTField0" ma:index="40" nillable="true" ma:taxonomy="true" ma:internalName="BusinessArchitectureTaxHTField0" ma:taxonomyFieldName="BusinessArchitecture" ma:displayName="Business Architecture" ma:default="" ma:fieldId="{d7cf789b-4ee0-44de-b4df-8d5b0482baa9}" ma:taxonomyMulti="true" ma:sspId="e385fb40-52d4-4fae-9c5b-3e8ff8a5878e" ma:termSetId="d039009f-2da8-468b-bf5e-ff4693a9f72f" ma:anchorId="1951c1e0-4cc7-414f-a435-7369277bc757" ma:open="false" ma:isKeyword="false">
      <xsd:complexType>
        <xsd:sequence>
          <xsd:element ref="pc:Terms" minOccurs="0" maxOccurs="1"/>
        </xsd:sequence>
      </xsd:complexType>
    </xsd:element>
    <xsd:element name="TopicsTaxHTField0" ma:index="42" nillable="true" ma:taxonomy="true" ma:internalName="TopicsTaxHTField0" ma:taxonomyFieldName="Topics" ma:displayName="Topics" ma:default="" ma:fieldId="{878ad871-6083-42b1-a9d8-caa3411e86f2}" ma:taxonomyMulti="true" ma:sspId="e385fb40-52d4-4fae-9c5b-3e8ff8a5878e" ma:termSetId="d039009f-2da8-468b-bf5e-ff4693a9f72f" ma:anchorId="ddcce936-3357-448e-8326-e6fdfddfb752" ma:open="false" ma:isKeyword="false">
      <xsd:complexType>
        <xsd:sequence>
          <xsd:element ref="pc:Terms" minOccurs="0" maxOccurs="1"/>
        </xsd:sequence>
      </xsd:complexType>
    </xsd:element>
    <xsd:element name="GroupsTaxHTField0" ma:index="44" nillable="true" ma:taxonomy="true" ma:internalName="GroupsTaxHTField0" ma:taxonomyFieldName="Groups" ma:displayName="Groups" ma:default="" ma:fieldId="{822c6b82-c53e-484c-9c53-5c6ce5969db5}" ma:taxonomyMulti="true" ma:sspId="e385fb40-52d4-4fae-9c5b-3e8ff8a5878e" ma:termSetId="d039009f-2da8-468b-bf5e-ff4693a9f72f" ma:anchorId="ec38e82f-eddf-4553-aa72-f3bd3c1d5855" ma:open="false" ma:isKeyword="false">
      <xsd:complexType>
        <xsd:sequence>
          <xsd:element ref="pc:Terms" minOccurs="0" maxOccurs="1"/>
        </xsd:sequence>
      </xsd:complexType>
    </xsd:element>
    <xsd:element name="CoOwner" ma:index="46" nillable="true" ma:displayName="Co-Owner" ma:list="UserInfo" ma:SearchPeopleOnly="false" ma:SharePointGroup="0" ma:internalName="CoOwner" ma:readOnly="true"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vitiesAndProgramsTaxHTField0" ma:index="47" nillable="true" ma:taxonomy="true" ma:internalName="ActivitiesAndProgramsTaxHTField0" ma:taxonomyFieldName="ActivitiesAndPrograms" ma:displayName="Activities &amp; Programs" ma:default="" ma:fieldId="{b1238bc0-413c-4dea-a499-043137e11d15}" ma:taxonomyMulti="true" ma:sspId="e385fb40-52d4-4fae-9c5b-3e8ff8a5878e" ma:termSetId="d039009f-2da8-468b-bf5e-ff4693a9f72f" ma:anchorId="846d39ff-6475-4006-99df-de42970d666e" ma:open="false" ma:isKeyword="false">
      <xsd:complexType>
        <xsd:sequence>
          <xsd:element ref="pc:Terms" minOccurs="0" maxOccurs="1"/>
        </xsd:sequence>
      </xsd:complexType>
    </xsd:element>
    <xsd:element name="Owner" ma:index="49" nillable="true" ma:displayName="Owner" ma:description="Must be an FTE" ma:indexed="true" ma:list="UserInfo" ma:SharePointGroup="0" ma:internalName="Owner" ma:showField="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MSGDomainTaxHTField0" ma:index="53" nillable="true" ma:taxonomy="true" ma:internalName="SMSGDomainTaxHTField0" ma:taxonomyFieldName="SMSGDomain" ma:displayName="SMSG Domain" ma:readOnly="true" ma:default="" ma:fieldId="{2c8f543d-b3fa-4810-874a-ad0f88d0f61a}" ma:taxonomyMulti="true" ma:sspId="e385fb40-52d4-4fae-9c5b-3e8ff8a5878e" ma:termSetId="a611a704-4666-406e-a571-a6e9bb4a2dcc" ma:anchorId="dd7a2ee5-7d01-4a82-9346-1eefa47ece8b" ma:open="false" ma:isKeyword="false">
      <xsd:complexType>
        <xsd:sequence>
          <xsd:element ref="pc:Terms" minOccurs="0" maxOccurs="1"/>
        </xsd:sequence>
      </xsd:complexType>
    </xsd:element>
    <xsd:element name="LanguagesTaxHTField0" ma:index="59" nillable="true" ma:taxonomy="true" ma:internalName="LanguagesTaxHTField0" ma:taxonomyFieldName="Languages" ma:displayName="Languages" ma:default="" ma:fieldId="{57b7e61f-5f00-4c23-b9fb-7e2af434aabb}" ma:taxonomyMulti="true" ma:sspId="e385fb40-52d4-4fae-9c5b-3e8ff8a5878e" ma:termSetId="a611a704-4666-406e-a571-a6e9bb4a2dcc" ma:anchorId="c5f267fd-fa38-4ffe-a1d8-2693d87e90bc"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Description xmlns="4e240d41-6d38-4eac-9584-b3f543b50010" xsi:nil="true"/>
    <IconOverlay xmlns="http://schemas.microsoft.com/sharepoint/v4" xsi:nil="true"/>
    <LanguagesTaxHTField0 xmlns="4e240d41-6d38-4eac-9584-b3f543b50010">
      <Terms xmlns="http://schemas.microsoft.com/office/infopath/2007/PartnerControls"/>
    </LanguagesTaxHTField0>
    <Thumbnail1 xmlns="4e240d41-6d38-4eac-9584-b3f543b50010">
      <Url xsi:nil="true"/>
      <Description xsi:nil="true"/>
    </Thumbnail1>
    <RoutingRuleDescription xmlns="http://schemas.microsoft.com/sharepoint/v3" xsi:nil="true"/>
    <ItemTypeTaxHTField0 xmlns="4e240d41-6d38-4eac-9584-b3f543b50010">
      <Terms xmlns="http://schemas.microsoft.com/office/infopath/2007/PartnerControls">
        <TermInfo xmlns="http://schemas.microsoft.com/office/infopath/2007/PartnerControls">
          <TermName xmlns="http://schemas.microsoft.com/office/infopath/2007/PartnerControls">product datasheets</TermName>
          <TermId xmlns="http://schemas.microsoft.com/office/infopath/2007/PartnerControls">56bc96db-0617-4ae3-a239-d6fa7f22a725</TermId>
        </TermInfo>
        <TermInfo xmlns="http://schemas.microsoft.com/office/infopath/2007/PartnerControls">
          <TermName xmlns="http://schemas.microsoft.com/office/infopath/2007/PartnerControls">readiness</TermName>
          <TermId xmlns="http://schemas.microsoft.com/office/infopath/2007/PartnerControls">0bad9107-5243-4424-8599-de9537dda9af</TermId>
        </TermInfo>
      </Terms>
    </ItemTypeTaxHTField0>
    <TaxCatchAll xmlns="230e9df3-be65-4c73-a93b-d1236ebd677e">
      <Value>10947</Value>
      <Value>10072</Value>
      <Value>12690</Value>
      <Value>15251</Value>
      <Value>16301</Value>
      <Value>13172</Value>
      <Value>80</Value>
      <Value>16298</Value>
      <Value>10077</Value>
      <Value>10750</Value>
      <Value>10381</Value>
      <Value>16155</Value>
      <Value>10080</Value>
      <Value>12331</Value>
      <Value>10237</Value>
      <Value>13755</Value>
    </TaxCatchAll>
    <ProductsTaxHTField0 xmlns="4e240d41-6d38-4eac-9584-b3f543b50010">
      <Terms xmlns="http://schemas.microsoft.com/office/infopath/2007/PartnerControls">
        <TermInfo xmlns="http://schemas.microsoft.com/office/infopath/2007/PartnerControls">
          <TermName xmlns="http://schemas.microsoft.com/office/infopath/2007/PartnerControls">Microsoft SQL Server</TermName>
          <TermId xmlns="http://schemas.microsoft.com/office/infopath/2007/PartnerControls">261ba873-f3ab-420e-96d6-e3004596a551</TermId>
        </TermInfo>
        <TermInfo xmlns="http://schemas.microsoft.com/office/infopath/2007/PartnerControls">
          <TermName xmlns="http://schemas.microsoft.com/office/infopath/2007/PartnerControls">Microsoft SQL Server 2012</TermName>
          <TermId xmlns="http://schemas.microsoft.com/office/infopath/2007/PartnerControls">41edbf73-2fbc-4486-9307-7a973f4f9ca7</TermId>
        </TermInfo>
        <TermInfo xmlns="http://schemas.microsoft.com/office/infopath/2007/PartnerControls">
          <TermName xmlns="http://schemas.microsoft.com/office/infopath/2007/PartnerControls">Denali (Microsoft SQL Server)</TermName>
          <TermId xmlns="http://schemas.microsoft.com/office/infopath/2007/PartnerControls">a9fb8a5f-0536-4e79-8026-a117c4adbd8b</TermId>
        </TermInfo>
      </Terms>
    </ProductsTaxHTField0>
    <RolesTaxHTField0 xmlns="4e240d41-6d38-4eac-9584-b3f543b50010">
      <Terms xmlns="http://schemas.microsoft.com/office/infopath/2007/PartnerControls"/>
    </RolesTaxHTField0>
    <SegmentsTaxHTField0 xmlns="4e240d41-6d38-4eac-9584-b3f543b50010">
      <Terms xmlns="http://schemas.microsoft.com/office/infopath/2007/PartnerControls">
        <TermInfo xmlns="http://schemas.microsoft.com/office/infopath/2007/PartnerControls">
          <TermName xmlns="http://schemas.microsoft.com/office/infopath/2007/PartnerControls">Enterprise and Partner Group</TermName>
          <TermId xmlns="http://schemas.microsoft.com/office/infopath/2007/PartnerControls">b6e10940-8c6c-40cf-9dc4-c224c7da837a</TermId>
        </TermInfo>
        <TermInfo xmlns="http://schemas.microsoft.com/office/infopath/2007/PartnerControls">
          <TermName xmlns="http://schemas.microsoft.com/office/infopath/2007/PartnerControls">Server and Tools Business</TermName>
          <TermId xmlns="http://schemas.microsoft.com/office/infopath/2007/PartnerControls">6783548d-8609-4f97-be4a-4ca2616905a6</TermId>
        </TermInfo>
        <TermInfo xmlns="http://schemas.microsoft.com/office/infopath/2007/PartnerControls">
          <TermName xmlns="http://schemas.microsoft.com/office/infopath/2007/PartnerControls">Server and Tools Marketing Group</TermName>
          <TermId xmlns="http://schemas.microsoft.com/office/infopath/2007/PartnerControls">4f75e184-e5aa-4234-a07f-b032d60df254</TermId>
        </TermInfo>
      </Terms>
    </SegmentsTaxHTField0>
    <AudiencesTaxHTField0 xmlns="4e240d41-6d38-4eac-9584-b3f543b50010">
      <Terms xmlns="http://schemas.microsoft.com/office/infopath/2007/PartnerControls">
        <TermInfo xmlns="http://schemas.microsoft.com/office/infopath/2007/PartnerControls">
          <TermName xmlns="http://schemas.microsoft.com/office/infopath/2007/PartnerControls">IT professionals</TermName>
          <TermId xmlns="http://schemas.microsoft.com/office/infopath/2007/PartnerControls">f9d20670-fa9a-45b8-a017-ba71db81a534</TermId>
        </TermInfo>
        <TermInfo xmlns="http://schemas.microsoft.com/office/infopath/2007/PartnerControls">
          <TermName xmlns="http://schemas.microsoft.com/office/infopath/2007/PartnerControls">IT decision makers</TermName>
          <TermId xmlns="http://schemas.microsoft.com/office/infopath/2007/PartnerControls">9b4e6e74-580c-4c34-b4d3-48674047e67e</TermId>
        </TermInfo>
        <TermInfo xmlns="http://schemas.microsoft.com/office/infopath/2007/PartnerControls">
          <TermName xmlns="http://schemas.microsoft.com/office/infopath/2007/PartnerControls">IT managers</TermName>
          <TermId xmlns="http://schemas.microsoft.com/office/infopath/2007/PartnerControls">4219ef75-bc71-43a3-92eb-06c793c221e2</TermId>
        </TermInfo>
      </Terms>
    </AudiencesTaxHTField0>
    <GroupsTaxHTField0 xmlns="4e240d41-6d38-4eac-9584-b3f543b50010">
      <Terms xmlns="http://schemas.microsoft.com/office/infopath/2007/PartnerControls"/>
    </GroupsTaxHTField0>
    <RegionTaxHTField0 xmlns="4e240d41-6d38-4eac-9584-b3f543b50010">
      <Terms xmlns="http://schemas.microsoft.com/office/infopath/2007/PartnerControls"/>
    </RegionTaxHTField0>
    <CoOwner xmlns="4e240d41-6d38-4eac-9584-b3f543b50010">
      <UserInfo>
        <DisplayName>REDMOND\a-jonoel</DisplayName>
        <AccountId>121704</AccountId>
        <AccountType/>
      </UserInfo>
      <UserInfo>
        <DisplayName>REDMOND\v-cbaird</DisplayName>
        <AccountId>332</AccountId>
        <AccountType/>
      </UserInfo>
    </CoOwner>
    <BusinessArchitectureTaxHTField0 xmlns="4e240d41-6d38-4eac-9584-b3f543b50010">
      <Terms xmlns="http://schemas.microsoft.com/office/infopath/2007/PartnerControls"/>
    </BusinessArchitectureTaxHTField0>
    <PartnersTaxHTField0 xmlns="4e240d41-6d38-4eac-9584-b3f543b50010">
      <Terms xmlns="http://schemas.microsoft.com/office/infopath/2007/PartnerControls"/>
    </PartnersTaxHTField0>
    <CompetitorsTaxHTField0 xmlns="4e240d41-6d38-4eac-9584-b3f543b50010">
      <Terms xmlns="http://schemas.microsoft.com/office/infopath/2007/PartnerControls"/>
    </CompetitorsTaxHTField0>
    <ActivitiesAndProgramsTaxHTField0 xmlns="4e240d41-6d38-4eac-9584-b3f543b50010">
      <Terms xmlns="http://schemas.microsoft.com/office/infopath/2007/PartnerControls"/>
    </ActivitiesAndProgramsTaxHTField0>
    <Owner xmlns="4e240d41-6d38-4eac-9584-b3f543b50010">
      <UserInfo>
        <DisplayName>Sandrine Skinner</DisplayName>
        <AccountId>15340</AccountId>
        <AccountType/>
      </UserInfo>
    </Owner>
    <TopicsTaxHTField0 xmlns="4e240d41-6d38-4eac-9584-b3f543b50010">
      <Terms xmlns="http://schemas.microsoft.com/office/infopath/2007/PartnerControls"/>
    </TopicsTaxHTField0>
    <ConfidentialityTaxHTField0 xmlns="4e240d41-6d38-4eac-9584-b3f543b50010">
      <Terms xmlns="http://schemas.microsoft.com/office/infopath/2007/PartnerControls">
        <TermInfo xmlns="http://schemas.microsoft.com/office/infopath/2007/PartnerControls">
          <TermName xmlns="http://schemas.microsoft.com/office/infopath/2007/PartnerControls">customer ready</TermName>
          <TermId xmlns="http://schemas.microsoft.com/office/infopath/2007/PartnerControls">b225dced-5dab-45d2-8576-577b3c96fa78</TermId>
        </TermInfo>
      </Terms>
    </ConfidentialityTaxHTField0>
    <SMSGDomainTaxHTField0 xmlns="4e240d41-6d38-4eac-9584-b3f543b50010">
      <Terms xmlns="http://schemas.microsoft.com/office/infopath/2007/PartnerControls">
        <TermInfo xmlns="http://schemas.microsoft.com/office/infopath/2007/PartnerControls">
          <TermName xmlns="http://schemas.microsoft.com/office/infopath/2007/PartnerControls">Sales, Marketing, Services Group</TermName>
          <TermId xmlns="http://schemas.microsoft.com/office/infopath/2007/PartnerControls">ecda8836-afa0-40aa-878e-630e18c8fc5c</TermId>
        </TermInfo>
      </Terms>
    </SMSGDomainTaxHTField0>
    <IndustriesTaxHTField0 xmlns="4e240d41-6d38-4eac-9584-b3f543b50010">
      <Terms xmlns="http://schemas.microsoft.com/office/infopath/2007/PartnerControls"/>
    </IndustriesTaxHTField0>
    <CapabilitiesTaxHTField0 xmlns="4e240d41-6d38-4eac-9584-b3f543b50010">
      <Terms xmlns="http://schemas.microsoft.com/office/infopath/2007/PartnerControls"/>
    </CapabilitiesTaxHTField0>
    <TaxKeywordTaxHTField xmlns="230e9df3-be65-4c73-a93b-d1236ebd677e">
      <Terms xmlns="http://schemas.microsoft.com/office/infopath/2007/PartnerControls">
        <TermInfo xmlns="http://schemas.microsoft.com/office/infopath/2007/PartnerControls">
          <TermName xmlns="http://schemas.microsoft.com/office/infopath/2007/PartnerControls">website content and templates</TermName>
          <TermId xmlns="http://schemas.microsoft.com/office/infopath/2007/PartnerControls">2a9e8f97-bcff-4d55-a199-c414a1594093</TermId>
        </TermInfo>
        <TermInfo xmlns="http://schemas.microsoft.com/office/infopath/2007/PartnerControls">
          <TermName xmlns="http://schemas.microsoft.com/office/infopath/2007/PartnerControls">P＆L</TermName>
          <TermId xmlns="http://schemas.microsoft.com/office/infopath/2007/PartnerControls">14be660d-2015-46ea-84e1-77ad22c55f35</TermId>
        </TermInfo>
        <TermInfo xmlns="http://schemas.microsoft.com/office/infopath/2007/PartnerControls">
          <TermName xmlns="http://schemas.microsoft.com/office/infopath/2007/PartnerControls">Microsoft SQL Server</TermName>
          <TermId xmlns="http://schemas.microsoft.com/office/infopath/2007/PartnerControls">261ba873-f3ab-420e-96d6-e3004596a551</TermId>
        </TermInfo>
      </Terms>
    </TaxKeywordTaxHTField>
    <_dlc_DocId xmlns="230e9df3-be65-4c73-a93b-d1236ebd677e">KC00-15-150570</_dlc_DocId>
    <_dlc_DocIdUrl xmlns="230e9df3-be65-4c73-a93b-d1236ebd677e">
      <Url>http://infopedia/docstore/_layouts/DocIdRedir.aspx?ID=KC00-15-150570</Url>
      <Description>KC00-15-150570</Description>
    </_dlc_DocIdUrl>
    <AverageRating xmlns="http://schemas.microsoft.com/sharepoint/v3" xsi:nil="true"/>
  </documentManagement>
</p:properties>
</file>

<file path=customXml/item4.xml><?xml version="1.0" encoding="utf-8"?>
<?mso-contentType ?>
<SharedContentType xmlns="Microsoft.SharePoint.Taxonomy.ContentTypeSync" SourceId="e385fb40-52d4-4fae-9c5b-3e8ff8a5878e" ContentTypeId="0x010100FF1FAB0DEDE9AF4ABA57B67AF4A9F32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10009</Type>
    <SequenceNumber>1004</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3975C-5BD9-4F85-9DCB-CAEB09AFD3CF}">
  <ds:schemaRefs>
    <ds:schemaRef ds:uri="http://schemas.microsoft.com/sharepoint/v3/contenttype/forms"/>
  </ds:schemaRefs>
</ds:datastoreItem>
</file>

<file path=customXml/itemProps2.xml><?xml version="1.0" encoding="utf-8"?>
<ds:datastoreItem xmlns:ds="http://schemas.openxmlformats.org/officeDocument/2006/customXml" ds:itemID="{AF8D5344-D513-47A7-BAF5-085E525EA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0e9df3-be65-4c73-a93b-d1236ebd677e"/>
    <ds:schemaRef ds:uri="4e240d41-6d38-4eac-9584-b3f543b5001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06D1C5-D546-4B03-8B81-25BB2BCDDC99}">
  <ds:schemaRefs>
    <ds:schemaRef ds:uri="http://schemas.microsoft.com/office/2006/metadata/properties"/>
    <ds:schemaRef ds:uri="http://schemas.microsoft.com/office/infopath/2007/PartnerControls"/>
    <ds:schemaRef ds:uri="4e240d41-6d38-4eac-9584-b3f543b50010"/>
    <ds:schemaRef ds:uri="http://schemas.microsoft.com/sharepoint/v4"/>
    <ds:schemaRef ds:uri="http://schemas.microsoft.com/sharepoint/v3"/>
    <ds:schemaRef ds:uri="230e9df3-be65-4c73-a93b-d1236ebd677e"/>
  </ds:schemaRefs>
</ds:datastoreItem>
</file>

<file path=customXml/itemProps4.xml><?xml version="1.0" encoding="utf-8"?>
<ds:datastoreItem xmlns:ds="http://schemas.openxmlformats.org/officeDocument/2006/customXml" ds:itemID="{DA18B7A2-2952-4499-8FCD-B38834B6381A}">
  <ds:schemaRefs>
    <ds:schemaRef ds:uri="Microsoft.SharePoint.Taxonomy.ContentTypeSync"/>
  </ds:schemaRefs>
</ds:datastoreItem>
</file>

<file path=customXml/itemProps5.xml><?xml version="1.0" encoding="utf-8"?>
<ds:datastoreItem xmlns:ds="http://schemas.openxmlformats.org/officeDocument/2006/customXml" ds:itemID="{74C65FFB-051A-4161-9F90-7CD2C2C49E4F}">
  <ds:schemaRefs>
    <ds:schemaRef ds:uri="http://schemas.microsoft.com/sharepoint/events"/>
  </ds:schemaRefs>
</ds:datastoreItem>
</file>

<file path=customXml/itemProps6.xml><?xml version="1.0" encoding="utf-8"?>
<ds:datastoreItem xmlns:ds="http://schemas.openxmlformats.org/officeDocument/2006/customXml" ds:itemID="{BB1F310B-04CF-4499-9F38-88A4CDA37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4310</Words>
  <Characters>24567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SQL2012-licensing-datasheet-USA</vt:lpstr>
    </vt:vector>
  </TitlesOfParts>
  <Company>Microsoft Corporation</Company>
  <LinksUpToDate>false</LinksUpToDate>
  <CharactersWithSpaces>28820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SQL2012-licensing-datasheet-USA</dc:title>
  <dc:creator>adi</dc:creator>
  <cp:keywords>website content and templates; Microsoft SQL Server; P＆L</cp:keywords>
  <cp:lastModifiedBy>Sherry Toly (Red Dog Interactive)</cp:lastModifiedBy>
  <cp:revision>2</cp:revision>
  <cp:lastPrinted>2011-12-01T23:45:00Z</cp:lastPrinted>
  <dcterms:created xsi:type="dcterms:W3CDTF">2012-03-13T23:55:00Z</dcterms:created>
  <dcterms:modified xsi:type="dcterms:W3CDTF">2012-03-13T23:55:00Z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0x010100FF1FAB0DEDE9AF4ABA57B67AF4A9F3210200596A0E07C3E77448942F9A5D1E81E582</vt:lpwstr>
  </property>
  <property fmtid="{D5CDD505-2E9C-101B-9397-08002B2CF9AE}" pid="3" name="TaxKeyword">
    <vt:lpwstr>16301;#website content and templates|2a9e8f97-bcff-4d55-a199-c414a1594093;#16298;#P＆L|14be660d-2015-46ea-84e1-77ad22c55f35;#12331;#Microsoft SQL Server|261ba873-f3ab-420e-96d6-e3004596a551</vt:lpwstr>
  </property>
  <property fmtid="{D5CDD505-2E9C-101B-9397-08002B2CF9AE}" pid="4" name="Audiences">
    <vt:lpwstr>10381;#IT professionals|f9d20670-fa9a-45b8-a017-ba71db81a534;#10077;#IT decision makers|9b4e6e74-580c-4c34-b4d3-48674047e67e;#10750;#IT managers|4219ef75-bc71-43a3-92eb-06c793c221e2</vt:lpwstr>
  </property>
  <property fmtid="{D5CDD505-2E9C-101B-9397-08002B2CF9AE}" pid="5" name="Products">
    <vt:lpwstr>10237;#Microsoft SQL Server|261ba873-f3ab-420e-96d6-e3004596a551;#16155;#Microsoft SQL Server 2012|41edbf73-2fbc-4486-9307-7a973f4f9ca7;#12690;#Denali (Microsoft SQL Server)|a9fb8a5f-0536-4e79-8026-a117c4adbd8b</vt:lpwstr>
  </property>
  <property fmtid="{D5CDD505-2E9C-101B-9397-08002B2CF9AE}" pid="6" name="Capabilities">
    <vt:lpwstr/>
  </property>
  <property fmtid="{D5CDD505-2E9C-101B-9397-08002B2CF9AE}" pid="7" name="Region">
    <vt:lpwstr/>
  </property>
  <property fmtid="{D5CDD505-2E9C-101B-9397-08002B2CF9AE}" pid="8" name="Segments">
    <vt:lpwstr>10947;#Enterprise and Partner Group|b6e10940-8c6c-40cf-9dc4-c224c7da837a;#13172;#Server and Tools Business|6783548d-8609-4f97-be4a-4ca2616905a6;#15251;#Server and Tools Marketing Group|4f75e184-e5aa-4234-a07f-b032d60df254</vt:lpwstr>
  </property>
  <property fmtid="{D5CDD505-2E9C-101B-9397-08002B2CF9AE}" pid="9" name="Confidentiality">
    <vt:lpwstr>80;#customer ready|b225dced-5dab-45d2-8576-577b3c96fa78</vt:lpwstr>
  </property>
  <property fmtid="{D5CDD505-2E9C-101B-9397-08002B2CF9AE}" pid="10" name="ActivitiesAndPrograms">
    <vt:lpwstr/>
  </property>
  <property fmtid="{D5CDD505-2E9C-101B-9397-08002B2CF9AE}" pid="11" name="Partners">
    <vt:lpwstr/>
  </property>
  <property fmtid="{D5CDD505-2E9C-101B-9397-08002B2CF9AE}" pid="12" name="Groups">
    <vt:lpwstr/>
  </property>
  <property fmtid="{D5CDD505-2E9C-101B-9397-08002B2CF9AE}" pid="13" name="Topics">
    <vt:lpwstr/>
  </property>
  <property fmtid="{D5CDD505-2E9C-101B-9397-08002B2CF9AE}" pid="14" name="Industries">
    <vt:lpwstr/>
  </property>
  <property fmtid="{D5CDD505-2E9C-101B-9397-08002B2CF9AE}" pid="15" name="Roles">
    <vt:lpwstr/>
  </property>
  <property fmtid="{D5CDD505-2E9C-101B-9397-08002B2CF9AE}" pid="16" name="SMSGDomain">
    <vt:lpwstr>13755;#Sales, Marketing, Services Group|ecda8836-afa0-40aa-878e-630e18c8fc5c</vt:lpwstr>
  </property>
  <property fmtid="{D5CDD505-2E9C-101B-9397-08002B2CF9AE}" pid="17" name="Competitors">
    <vt:lpwstr/>
  </property>
  <property fmtid="{D5CDD505-2E9C-101B-9397-08002B2CF9AE}" pid="18" name="BusinessArchitecture">
    <vt:lpwstr/>
  </property>
  <property fmtid="{D5CDD505-2E9C-101B-9397-08002B2CF9AE}" pid="19" name="_dlc_policyId">
    <vt:lpwstr/>
  </property>
  <property fmtid="{D5CDD505-2E9C-101B-9397-08002B2CF9AE}" pid="20" name="ItemRetentionFormula">
    <vt:lpwstr/>
  </property>
  <property fmtid="{D5CDD505-2E9C-101B-9397-08002B2CF9AE}" pid="21" name="ItemType">
    <vt:lpwstr>10080;#product datasheets|56bc96db-0617-4ae3-a239-d6fa7f22a725;#10072;#readiness|0bad9107-5243-4424-8599-de9537dda9af</vt:lpwstr>
  </property>
  <property fmtid="{D5CDD505-2E9C-101B-9397-08002B2CF9AE}" pid="22" name="LastUpdatedByBatchTagging">
    <vt:bool>false</vt:bool>
  </property>
  <property fmtid="{D5CDD505-2E9C-101B-9397-08002B2CF9AE}" pid="23" name="Languages">
    <vt:lpwstr/>
  </property>
  <property fmtid="{D5CDD505-2E9C-101B-9397-08002B2CF9AE}" pid="24" name="_dlc_DocIdItemGuid">
    <vt:lpwstr>95a264f7-ce46-4a34-bdc0-65666b62c1b1</vt:lpwstr>
  </property>
  <property fmtid="{D5CDD505-2E9C-101B-9397-08002B2CF9AE}" pid="25" name="WorkflowCreationPath">
    <vt:lpwstr>a2444f68-e94d-4cad-9dda-8c5779e7fca4,3;a2444f68-e94d-4cad-9dda-8c5779e7fca4,7;a2444f68-e94d-4cad-9dda-8c5779e7fca4,14;</vt:lpwstr>
  </property>
  <property fmtid="{D5CDD505-2E9C-101B-9397-08002B2CF9AE}" pid="26" name="SMSGTags">
    <vt:lpwstr/>
  </property>
  <property fmtid="{D5CDD505-2E9C-101B-9397-08002B2CF9AE}" pid="27" name="EnterpriseDomainTags">
    <vt:lpwstr/>
  </property>
  <property fmtid="{D5CDD505-2E9C-101B-9397-08002B2CF9AE}" pid="28" name="EnterpriseDomainTagsTaxHTField0">
    <vt:lpwstr/>
  </property>
  <property fmtid="{D5CDD505-2E9C-101B-9397-08002B2CF9AE}" pid="29" name="_docset_NoMedatataSyncRequired">
    <vt:lpwstr>False</vt:lpwstr>
  </property>
  <property fmtid="{D5CDD505-2E9C-101B-9397-08002B2CF9AE}" pid="30" name="SMSGTagsTaxHTField0">
    <vt:lpwstr/>
  </property>
</Properties>
</file>