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2" w:rsidRPr="004613AC" w:rsidRDefault="00D025E4" w:rsidP="00D93A26">
      <w:pPr>
        <w:keepNext/>
        <w:framePr w:dropCap="drop" w:lines="2" w:hSpace="72" w:wrap="around" w:vAnchor="text" w:hAnchor="text"/>
        <w:spacing w:line="452" w:lineRule="exact"/>
        <w:textAlignment w:val="baseline"/>
        <w:rPr>
          <w:rFonts w:ascii="Segoe UI" w:eastAsia="Times New Roman" w:hAnsi="Segoe UI" w:cs="Segoe UI"/>
          <w:iCs w:val="0"/>
          <w:color w:val="7A7271"/>
          <w:position w:val="-5"/>
          <w:sz w:val="48"/>
          <w:szCs w:val="17"/>
        </w:rPr>
      </w:pPr>
      <w:r w:rsidRPr="004613AC">
        <w:rPr>
          <w:rFonts w:ascii="Segoe UI" w:eastAsia="Times New Roman" w:hAnsi="Segoe UI" w:cs="Segoe UI"/>
          <w:iCs w:val="0"/>
          <w:color w:val="7A7271"/>
          <w:position w:val="-5"/>
          <w:sz w:val="48"/>
          <w:szCs w:val="17"/>
        </w:rPr>
        <w:t>N</w:t>
      </w:r>
    </w:p>
    <w:p w:rsidR="00E30450" w:rsidRPr="004613AC" w:rsidRDefault="00D025E4" w:rsidP="00E304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o clima atual de negócios,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a 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colaboração é fundamental. </w:t>
      </w:r>
      <w:proofErr w:type="gramStart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O Microsoft</w:t>
      </w:r>
      <w:proofErr w:type="gramEnd"/>
      <w:r w:rsidRPr="004613AC">
        <w:rPr>
          <w:rFonts w:ascii="Segoe UI" w:eastAsia="Times New Roman" w:hAnsi="Segoe UI" w:cs="Segoe UI"/>
          <w:iCs w:val="0"/>
          <w:color w:val="7A7271"/>
          <w:sz w:val="10"/>
          <w:szCs w:val="12"/>
          <w:lang w:val="pt-BR"/>
        </w:rPr>
        <w:t>®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SharePoint</w:t>
      </w:r>
      <w:r w:rsidRPr="004613AC">
        <w:rPr>
          <w:rFonts w:ascii="Segoe UI" w:eastAsia="Times New Roman" w:hAnsi="Segoe UI" w:cs="Segoe UI"/>
          <w:iCs w:val="0"/>
          <w:color w:val="7A7271"/>
          <w:sz w:val="10"/>
          <w:szCs w:val="12"/>
          <w:lang w:val="pt-BR"/>
        </w:rPr>
        <w:t>®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Online oferece às empresas e organizações uma solução flexível, baseada na Web, que inclui ferramentas e serviços que ajudam os usuários a gerenciar informações e colaborar entre si de forma eficaz. Baseado no Microsoft Office SharePoint Server 2007, esta solução hospedada da Microsoft proporciona aos usuários a capacidade de criar e gerenciar facilmente sites personalizados focados no projeto e na equipe para colaboração e produtividade pessoal. Os usuários têm a capacidade de criação, flexibilidade e personalização que precisam para trabalhar de maneira realmente eficiente com diferentes equipes.</w:t>
      </w:r>
    </w:p>
    <w:p w:rsidR="00E30450" w:rsidRPr="004613AC" w:rsidRDefault="00E94373" w:rsidP="00E30450">
      <w:pPr>
        <w:autoSpaceDE w:val="0"/>
        <w:autoSpaceDN w:val="0"/>
        <w:adjustRightInd w:val="0"/>
        <w:spacing w:line="260" w:lineRule="atLeast"/>
        <w:textAlignment w:val="center"/>
        <w:rPr>
          <w:rFonts w:ascii="Segoe UI" w:eastAsia="Times New Roman" w:hAnsi="Segoe UI" w:cs="Segoe UI"/>
          <w:iCs w:val="0"/>
          <w:color w:val="787270"/>
          <w:sz w:val="16"/>
          <w:szCs w:val="17"/>
          <w:lang w:val="pt-BR"/>
        </w:rPr>
      </w:pPr>
    </w:p>
    <w:p w:rsidR="00E30450" w:rsidRPr="004613AC" w:rsidRDefault="00D025E4" w:rsidP="005C6D4C">
      <w:pPr>
        <w:autoSpaceDE w:val="0"/>
        <w:autoSpaceDN w:val="0"/>
        <w:adjustRightInd w:val="0"/>
        <w:spacing w:after="240" w:line="260" w:lineRule="atLeast"/>
        <w:textAlignment w:val="center"/>
        <w:outlineLvl w:val="0"/>
        <w:rPr>
          <w:rFonts w:ascii="Segoe Light" w:eastAsia="Times New Roman" w:hAnsi="Segoe Light" w:cs="Segoe Light"/>
          <w:iCs w:val="0"/>
          <w:color w:val="C39E34"/>
          <w:sz w:val="32"/>
          <w:szCs w:val="36"/>
          <w:lang w:val="pt-BR"/>
        </w:rPr>
      </w:pPr>
      <w:r w:rsidRPr="004613AC">
        <w:rPr>
          <w:rFonts w:ascii="Segoe Light" w:eastAsia="Times New Roman" w:hAnsi="Segoe Light" w:cs="Segoe Light"/>
          <w:iCs w:val="0"/>
          <w:color w:val="C39E34"/>
          <w:sz w:val="32"/>
          <w:szCs w:val="36"/>
          <w:lang w:val="pt-BR"/>
        </w:rPr>
        <w:t xml:space="preserve">Como </w:t>
      </w:r>
      <w:r w:rsidR="004613AC" w:rsidRPr="004613AC">
        <w:rPr>
          <w:rFonts w:ascii="Segoe Light" w:eastAsia="Times New Roman" w:hAnsi="Segoe Light" w:cs="Segoe Light"/>
          <w:iCs w:val="0"/>
          <w:color w:val="C39E34"/>
          <w:sz w:val="32"/>
          <w:szCs w:val="36"/>
          <w:lang w:val="pt-BR"/>
        </w:rPr>
        <w:t xml:space="preserve">Ele </w:t>
      </w:r>
      <w:r w:rsidRPr="004613AC">
        <w:rPr>
          <w:rFonts w:ascii="Segoe Light" w:eastAsia="Times New Roman" w:hAnsi="Segoe Light" w:cs="Segoe Light"/>
          <w:iCs w:val="0"/>
          <w:color w:val="C39E34"/>
          <w:sz w:val="32"/>
          <w:szCs w:val="36"/>
          <w:lang w:val="pt-BR"/>
        </w:rPr>
        <w:t>Funciona</w:t>
      </w:r>
    </w:p>
    <w:p w:rsidR="00E30450" w:rsidRPr="004613AC" w:rsidRDefault="00D025E4" w:rsidP="00E304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É fácil começar a usar </w:t>
      </w:r>
      <w:proofErr w:type="gramStart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o SharePoint Online</w:t>
      </w:r>
      <w:proofErr w:type="gramEnd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rapidamente na sua empresa. No cerne da solução estão os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datacenter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s da Microsoft espalhados pelo mundo. Cada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datacenter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hospeda uma rede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de alta disponibilidade com 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equipamentos que hospedam sua solução de colaboração. Os servidores que são necessários para suportar sua organização são dedicados somente à sua empresa. Seus dados sempre são mantidos separadamente de outras organizações. As informações apropriadas do seu diretório são continuamente sincronizadas com o diretório dos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datacenter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s da Microsoft, permitindo aos </w:t>
      </w:r>
      <w:r w:rsidR="009133C8"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usuários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colaborar de forma contínua tanto dentro da rede corporativa como de forma segura através da Internet.</w:t>
      </w:r>
    </w:p>
    <w:p w:rsidR="00E30450" w:rsidRPr="004613AC" w:rsidRDefault="00E94373" w:rsidP="00E304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</w:p>
    <w:p w:rsidR="00E30450" w:rsidRPr="004613AC" w:rsidRDefault="00D025E4" w:rsidP="009D4D2E">
      <w:pPr>
        <w:pStyle w:val="Ttulo2"/>
        <w:rPr>
          <w:iCs/>
          <w:sz w:val="20"/>
          <w:lang w:val="pt-BR"/>
        </w:rPr>
      </w:pPr>
      <w:r w:rsidRPr="004613AC">
        <w:rPr>
          <w:sz w:val="20"/>
          <w:lang w:val="pt-BR"/>
        </w:rPr>
        <w:t>Recursos Básicos do SharePoint Online</w:t>
      </w:r>
    </w:p>
    <w:p w:rsidR="00E30450" w:rsidRPr="004613AC" w:rsidRDefault="00D025E4" w:rsidP="00E304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6"/>
          <w:szCs w:val="17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A Microsoft oferece uma solução abrangente de colaboração com uma simples taxa mensal por usuário. 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</w:rPr>
        <w:t>Os principais recursos são:</w:t>
      </w:r>
    </w:p>
    <w:p w:rsidR="00E30450" w:rsidRPr="004613AC" w:rsidRDefault="00E94373" w:rsidP="00E304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6"/>
          <w:szCs w:val="17"/>
        </w:rPr>
      </w:pP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Criação de site SharePoint de autosserviço com áreas de discussão online, espaços de trabalho para reunião e compartilhamento de documentos, bibliotecas de documentos com controle de versão e pesquisas.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Recursos</w:t>
      </w:r>
      <w:r w:rsidR="004613AC"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nativos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de gerenciamento de conteúdo para documentos, registros e conteúdos da Web.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Capacidade de pesquisar o conteúdo do site SharePoint por toda a organização.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Alertas de e-mail quando documentos e informações foram alterados ou adicionados a um site.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Segurança aprimorada para acesso à Internet usando criptografia SSL de 128 bits e varredura antivírus.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Relações de confiança de diretório com seu serviço do Active Directory</w:t>
      </w:r>
      <w:r w:rsidRPr="004613AC">
        <w:rPr>
          <w:rFonts w:ascii="Segoe UI" w:eastAsia="Times New Roman" w:hAnsi="Segoe UI" w:cs="Segoe UI"/>
          <w:iCs w:val="0"/>
          <w:color w:val="7A7271"/>
          <w:sz w:val="10"/>
          <w:szCs w:val="17"/>
          <w:lang w:val="pt-BR"/>
        </w:rPr>
        <w:t>®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, que fornece autenticação </w:t>
      </w:r>
      <w:r w:rsidR="004613AC" w:rsidRPr="004613AC">
        <w:rPr>
          <w:rFonts w:ascii="Segoe UI" w:eastAsia="Times New Roman" w:hAnsi="Segoe UI" w:cs="Segoe UI"/>
          <w:i/>
          <w:iCs w:val="0"/>
          <w:color w:val="7A7271"/>
          <w:sz w:val="16"/>
          <w:szCs w:val="17"/>
          <w:lang w:val="pt-BR"/>
        </w:rPr>
        <w:t>pass-through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lastRenderedPageBreak/>
        <w:t>Escalonável para milhares de sites de uma mesma organização, para que os gerentes possam delegar a criação de sites para outras pessoas.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Recuperação de dados e restauração de documentos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com suporte a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autosserviço.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Servidores dedicados, redes e espaço físico nos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datacenter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s da Microsoft, o que aumenta sua segurança lógica e física, com um tempo de disponibilidade de 99,9%.</w:t>
      </w:r>
    </w:p>
    <w:p w:rsidR="00E30450" w:rsidRPr="004613AC" w:rsidRDefault="00D025E4" w:rsidP="00E304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Atualizações para a versão mais atualizada do SharePoint Server </w:t>
      </w:r>
      <w:r w:rsidR="009133C8"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incluída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sem custo extra.</w:t>
      </w:r>
    </w:p>
    <w:p w:rsidR="00190FE3" w:rsidRPr="004613AC" w:rsidRDefault="00D025E4" w:rsidP="00190F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Suporte a soluções personalizadas: Trabalhando com parceiros, a Microsoft fornece um processo para desenvolvimento, revisão e implantação de suas soluções personalizadas do SharePoint Online. O trabalho de desenvolvimento pode ser feito por você ou por terceiros, e é considerado um projeto de consultoria separado. (</w:t>
      </w:r>
      <w:r w:rsidRPr="004613AC">
        <w:rPr>
          <w:rFonts w:ascii="Segoe UI" w:eastAsia="Times New Roman" w:hAnsi="Segoe UI" w:cs="Segoe UI"/>
          <w:i/>
          <w:color w:val="7A7271"/>
          <w:sz w:val="16"/>
          <w:szCs w:val="17"/>
          <w:lang w:val="pt-BR"/>
        </w:rPr>
        <w:t>A Microsoft irá integrar um número inicial de soluções personalizadas sem custo adicional</w:t>
      </w:r>
      <w:r w:rsidRPr="004613AC">
        <w:rPr>
          <w:rFonts w:ascii="Segoe UI" w:eastAsia="Times New Roman" w:hAnsi="Segoe UI" w:cs="Segoe UI"/>
          <w:i/>
          <w:iCs w:val="0"/>
          <w:color w:val="7A7271"/>
          <w:sz w:val="16"/>
          <w:szCs w:val="17"/>
          <w:lang w:val="pt-BR"/>
        </w:rPr>
        <w:t>.</w:t>
      </w:r>
      <w:proofErr w:type="gramStart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)</w:t>
      </w:r>
      <w:proofErr w:type="gramEnd"/>
    </w:p>
    <w:p w:rsidR="00E30450" w:rsidRPr="004613AC" w:rsidRDefault="00E94373" w:rsidP="00E30450">
      <w:pPr>
        <w:autoSpaceDE w:val="0"/>
        <w:autoSpaceDN w:val="0"/>
        <w:adjustRightInd w:val="0"/>
        <w:rPr>
          <w:rFonts w:ascii="Segoe" w:eastAsia="Times New Roman" w:hAnsi="Segoe" w:cs="Segoe"/>
          <w:iCs w:val="0"/>
          <w:color w:val="7A7271"/>
          <w:sz w:val="16"/>
          <w:szCs w:val="17"/>
          <w:lang w:val="pt-BR"/>
        </w:rPr>
      </w:pPr>
    </w:p>
    <w:p w:rsidR="00E30450" w:rsidRPr="004613AC" w:rsidRDefault="00D025E4" w:rsidP="009D4D2E">
      <w:pPr>
        <w:pStyle w:val="Ttulo2"/>
        <w:rPr>
          <w:sz w:val="20"/>
        </w:rPr>
      </w:pPr>
      <w:r w:rsidRPr="004613AC">
        <w:rPr>
          <w:sz w:val="20"/>
        </w:rPr>
        <w:t>Recursos Opcionais</w:t>
      </w:r>
      <w:r w:rsidRPr="004613AC">
        <w:rPr>
          <w:i/>
          <w:sz w:val="20"/>
        </w:rPr>
        <w:t xml:space="preserve"> </w:t>
      </w:r>
    </w:p>
    <w:p w:rsidR="00190FE3" w:rsidRPr="004613AC" w:rsidRDefault="00D025E4" w:rsidP="00190F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 xml:space="preserve">Aceleração </w:t>
      </w:r>
      <w:r w:rsid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 xml:space="preserve">de </w:t>
      </w:r>
      <w:r w:rsidRP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>WAN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: </w:t>
      </w:r>
      <w:proofErr w:type="gramStart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O Microsoft Online Services</w:t>
      </w:r>
      <w:proofErr w:type="gramEnd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suporta a colocalização de dispositivos de aceleração de rede nos </w:t>
      </w:r>
      <w:r w:rsid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datacenter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s da Microsoft, onde o cliente gerencia os dispositivos. </w:t>
      </w:r>
    </w:p>
    <w:p w:rsidR="00E30450" w:rsidRPr="004613AC" w:rsidRDefault="00D025E4" w:rsidP="00190F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>Migração: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Muitos clientes já possuem </w:t>
      </w:r>
      <w:r w:rsidR="009133C8"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sistemas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colaborativos ou usam versões antigas do Office SharePoint Server. Trabalhando com nossos parceiros, a Microsoft pode ajudar você a desenvolver uma estratégia de planejamento e avaliação de migração, descrever os riscos e facilitar atividades de migração.</w:t>
      </w:r>
    </w:p>
    <w:p w:rsidR="00190FE3" w:rsidRPr="004613AC" w:rsidRDefault="00D025E4" w:rsidP="00190F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>Acesso do parceiro: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</w:t>
      </w:r>
      <w:proofErr w:type="gramStart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Os sites SharePoint isolados dos demais sites de sua organização, que você e um parceiro acessam para colaborar</w:t>
      </w:r>
      <w:proofErr w:type="gramEnd"/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.</w:t>
      </w:r>
    </w:p>
    <w:p w:rsidR="003E3E86" w:rsidRPr="004613AC" w:rsidRDefault="00D025E4" w:rsidP="005403A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>Armazenamento adicional: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Opções de armazenamento expandido estão disponíveis para acomodar o crescimento contínuo do SharePoint Online; os preços são determinados por terabyte usado.</w:t>
      </w:r>
    </w:p>
    <w:p w:rsidR="005403A2" w:rsidRPr="004613AC" w:rsidRDefault="00D025E4" w:rsidP="005403A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0" w:lineRule="exact"/>
        <w:contextualSpacing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4613AC">
        <w:rPr>
          <w:rFonts w:ascii="Segoe UI" w:eastAsia="Times New Roman" w:hAnsi="Segoe UI" w:cs="Segoe UI"/>
          <w:iCs w:val="0"/>
          <w:color w:val="4F81BD"/>
          <w:sz w:val="16"/>
          <w:szCs w:val="17"/>
          <w:lang w:val="pt-BR"/>
        </w:rPr>
        <w:t>Deskless Worker</w:t>
      </w:r>
      <w:r w:rsidRPr="004613AC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: A licença de baixo custo para usuário "deskless worker" é oferecida para clientes com usuários finais que não precisam de um conjunto completo de recursos de colaboração.</w:t>
      </w:r>
    </w:p>
    <w:p w:rsidR="00932A64" w:rsidRPr="004613AC" w:rsidRDefault="00932A64" w:rsidP="00C530B6">
      <w:pPr>
        <w:autoSpaceDE w:val="0"/>
        <w:autoSpaceDN w:val="0"/>
        <w:adjustRightInd w:val="0"/>
        <w:spacing w:after="120" w:line="240" w:lineRule="exact"/>
        <w:rPr>
          <w:sz w:val="22"/>
          <w:lang w:val="pt-BR"/>
        </w:rPr>
        <w:sectPr w:rsidR="00932A64" w:rsidRPr="004613AC" w:rsidSect="00D22603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728" w:right="1440" w:bottom="1440" w:left="1440" w:header="720" w:footer="720" w:gutter="0"/>
          <w:cols w:num="2" w:space="480"/>
          <w:titlePg/>
          <w:docGrid w:linePitch="326"/>
        </w:sectPr>
      </w:pPr>
    </w:p>
    <w:p w:rsidR="00E30450" w:rsidRPr="004613AC" w:rsidRDefault="00D025E4" w:rsidP="00E30450">
      <w:pPr>
        <w:suppressAutoHyphens/>
        <w:spacing w:line="192" w:lineRule="auto"/>
        <w:rPr>
          <w:rFonts w:ascii="Arial" w:eastAsia="Times New Roman" w:hAnsi="Arial"/>
          <w:iCs w:val="0"/>
          <w:sz w:val="18"/>
          <w:lang w:val="pt-BR"/>
        </w:rPr>
      </w:pPr>
      <w:r w:rsidRPr="004613AC">
        <w:rPr>
          <w:sz w:val="22"/>
          <w:lang w:val="pt-BR"/>
        </w:rPr>
        <w:lastRenderedPageBreak/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680"/>
      </w:tblGrid>
      <w:tr w:rsidR="00E30450" w:rsidRPr="004613AC" w:rsidTr="005C6D4C">
        <w:trPr>
          <w:trHeight w:val="60"/>
        </w:trPr>
        <w:tc>
          <w:tcPr>
            <w:tcW w:w="2040" w:type="dxa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  <w:lastRenderedPageBreak/>
              <w:t>Recursos Básicos</w:t>
            </w:r>
          </w:p>
        </w:tc>
        <w:tc>
          <w:tcPr>
            <w:tcW w:w="6680" w:type="dxa"/>
            <w:tcBorders>
              <w:top w:val="single" w:sz="4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Compartilhe documentos, contatos, calendários e tarefas.</w:t>
            </w:r>
          </w:p>
        </w:tc>
      </w:tr>
      <w:tr w:rsidR="00E30450" w:rsidRPr="004613AC" w:rsidTr="005C6D4C">
        <w:trPr>
          <w:trHeight w:val="145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Troque idéias com sites wiki.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Compartilhe idéias através de blogs.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A26143" w:rsidRPr="004613AC" w:rsidRDefault="00E9437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Crie sites de acesso do parceiro para colaboração com parceiros de negócios.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Utilize o reconhecimento de presença do Microsoft Office Communications Server.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Gerencie recursos de segurança no nível do item (como pasta, documento, lista).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Obtenha acesso móvel através da sessão de criptografia SSL de 128 bits.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4613AC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  <w:t xml:space="preserve">Permita autenticação </w:t>
            </w:r>
            <w:r w:rsidR="004613AC" w:rsidRPr="004613AC">
              <w:rPr>
                <w:rFonts w:ascii="Segoe UI" w:eastAsia="Times New Roman" w:hAnsi="Segoe UI" w:cs="Segoe UI"/>
                <w:i/>
                <w:iCs w:val="0"/>
                <w:color w:val="524A48"/>
                <w:sz w:val="14"/>
                <w:szCs w:val="16"/>
              </w:rPr>
              <w:t>pass-through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  <w:t>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shd w:val="clear" w:color="auto" w:fill="FFFFFF"/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Tenha a certeza de que suas informações estão mais seguras com a varredura antivírus do cliente Microsoft Forefront™.</w:t>
            </w:r>
          </w:p>
        </w:tc>
      </w:tr>
      <w:tr w:rsidR="00E30450" w:rsidRPr="004613AC" w:rsidTr="005C6D4C">
        <w:trPr>
          <w:trHeight w:val="25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E45AC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Sites pessoais (My Sites) suportados com até </w:t>
            </w:r>
            <w:proofErr w:type="gramStart"/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1</w:t>
            </w:r>
            <w:proofErr w:type="gramEnd"/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gigabyte (GB) de </w:t>
            </w:r>
            <w:r w:rsidR="009133C8"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armazenamento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  <w:t>Parâmetros para Standard</w:t>
            </w: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B56517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Os sites das equipes possuem uma cota padrão de armazenamento de </w:t>
            </w:r>
            <w:proofErr w:type="gramStart"/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2</w:t>
            </w:r>
            <w:proofErr w:type="gramEnd"/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gigabytes (GB) por site que pode ser aumentada em até 10 GB por site; 10 coleções de site de equipes (incluindo o portal) podem ter </w:t>
            </w:r>
            <w:r w:rsidR="009133C8"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até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100 GB de armazenamento.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250 megabytes (MB) por usuário, agregados por toda a organização.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  <w:t>Armazenamento adicional disponível opcionalmente.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  <w:t>Suporte ao Cliente</w:t>
            </w: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Melhor integração com </w:t>
            </w:r>
            <w:proofErr w:type="gramStart"/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o 2007 Microsoft Office</w:t>
            </w:r>
            <w:proofErr w:type="gramEnd"/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system.</w:t>
            </w:r>
          </w:p>
        </w:tc>
      </w:tr>
      <w:tr w:rsidR="00E30450" w:rsidRPr="004613AC" w:rsidTr="005C6D4C">
        <w:trPr>
          <w:trHeight w:val="157"/>
        </w:trPr>
        <w:tc>
          <w:tcPr>
            <w:tcW w:w="204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BE372E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22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4613AC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Suport</w:t>
            </w:r>
            <w:r w:rsid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e limitado a recursos com 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o Windows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0"/>
                <w:szCs w:val="16"/>
                <w:lang w:val="pt-BR"/>
              </w:rPr>
              <w:t>®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2003, Windows XP e Windows 2000.</w:t>
            </w:r>
          </w:p>
        </w:tc>
      </w:tr>
      <w:tr w:rsidR="00E30450" w:rsidRPr="004613AC" w:rsidTr="005C6D4C">
        <w:trPr>
          <w:trHeight w:val="60"/>
        </w:trPr>
        <w:tc>
          <w:tcPr>
            <w:tcW w:w="2040" w:type="dxa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50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  <w:t>Serviço de Proteção de Dados</w:t>
            </w: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50" w:rsidRPr="004613AC" w:rsidRDefault="00D025E4" w:rsidP="00E352A7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Restauração de documentos de autosserviço com um período de recuperação da Lixeira de 30 dias.</w:t>
            </w:r>
          </w:p>
        </w:tc>
      </w:tr>
      <w:tr w:rsidR="00E30450" w:rsidRPr="004613AC" w:rsidTr="005C6D4C">
        <w:trPr>
          <w:trHeight w:val="229"/>
        </w:trPr>
        <w:tc>
          <w:tcPr>
            <w:tcW w:w="204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143" w:rsidRPr="004613AC" w:rsidRDefault="00E9437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1FB" w:rsidRPr="004613AC" w:rsidRDefault="00D025E4" w:rsidP="00E352A7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A Lixeira de duas fases proporciona aos clientes duas chances para recuperar itens excluídos.</w:t>
            </w:r>
          </w:p>
        </w:tc>
      </w:tr>
      <w:tr w:rsidR="005A5411" w:rsidRPr="004613AC" w:rsidTr="005C6D4C">
        <w:trPr>
          <w:trHeight w:val="20"/>
        </w:trPr>
        <w:tc>
          <w:tcPr>
            <w:tcW w:w="2040" w:type="dxa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411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  <w:t>Auditorias e Segurança</w:t>
            </w: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E39" w:rsidRPr="004613AC" w:rsidRDefault="00D025E4" w:rsidP="00E352A7">
            <w:pPr>
              <w:tabs>
                <w:tab w:val="left" w:pos="4155"/>
              </w:tabs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Alinhamento e certificação baseados em padrões da indústria.</w:t>
            </w:r>
          </w:p>
        </w:tc>
      </w:tr>
      <w:tr w:rsidR="005A5411" w:rsidRPr="004613AC" w:rsidTr="005C6D4C">
        <w:trPr>
          <w:trHeight w:val="20"/>
        </w:trPr>
        <w:tc>
          <w:tcPr>
            <w:tcW w:w="204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411" w:rsidRPr="004613AC" w:rsidRDefault="00E9437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411" w:rsidRPr="004613AC" w:rsidRDefault="00D025E4" w:rsidP="000549C5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  <w:t>SAS 70 Type II auditado.</w:t>
            </w:r>
          </w:p>
        </w:tc>
      </w:tr>
      <w:tr w:rsidR="005A5411" w:rsidRPr="004613AC" w:rsidTr="005C6D4C">
        <w:trPr>
          <w:trHeight w:val="20"/>
        </w:trPr>
        <w:tc>
          <w:tcPr>
            <w:tcW w:w="204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411" w:rsidRPr="004613AC" w:rsidRDefault="00E94373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411" w:rsidRPr="004613AC" w:rsidRDefault="00D025E4" w:rsidP="00BF0B5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Monitoramento e detecção de invasão; segurança de dados de nove camadas.</w:t>
            </w:r>
          </w:p>
        </w:tc>
      </w:tr>
      <w:tr w:rsidR="005A5411" w:rsidRPr="004613AC" w:rsidTr="005C6D4C">
        <w:trPr>
          <w:trHeight w:val="20"/>
        </w:trPr>
        <w:tc>
          <w:tcPr>
            <w:tcW w:w="2040" w:type="dxa"/>
            <w:vMerge w:val="restart"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411" w:rsidRPr="004613AC" w:rsidRDefault="00D025E4" w:rsidP="00BE372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  <w:t>Acordos de Nível de Serviço</w:t>
            </w: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411" w:rsidRPr="004613AC" w:rsidRDefault="00D025E4" w:rsidP="00E1122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Disponibilidade de serviço de 99,9%, conforme medido no </w:t>
            </w:r>
            <w:r w:rsid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datacenter</w:t>
            </w: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.</w:t>
            </w:r>
          </w:p>
        </w:tc>
      </w:tr>
      <w:tr w:rsidR="005A5411" w:rsidRPr="004613AC" w:rsidTr="005C6D4C">
        <w:trPr>
          <w:trHeight w:val="60"/>
        </w:trPr>
        <w:tc>
          <w:tcPr>
            <w:tcW w:w="204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411" w:rsidRPr="004613AC" w:rsidRDefault="00E94373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68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411" w:rsidRPr="004613AC" w:rsidRDefault="00D025E4" w:rsidP="00D06EF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4613AC"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  <w:t>Reportado mensalmente, avaliado trimestralmente, apoiado financeiramente.</w:t>
            </w:r>
          </w:p>
        </w:tc>
      </w:tr>
    </w:tbl>
    <w:p w:rsidR="00E30450" w:rsidRPr="004613AC" w:rsidRDefault="00E94373" w:rsidP="00E30450">
      <w:pPr>
        <w:suppressAutoHyphens/>
        <w:spacing w:after="120" w:line="280" w:lineRule="exact"/>
        <w:rPr>
          <w:rFonts w:ascii="Arial" w:eastAsia="Times New Roman" w:hAnsi="Arial"/>
          <w:iCs w:val="0"/>
          <w:sz w:val="18"/>
          <w:lang w:val="pt-BR"/>
        </w:rPr>
      </w:pPr>
    </w:p>
    <w:p w:rsidR="005A62F5" w:rsidRPr="004613AC" w:rsidRDefault="004613AC" w:rsidP="004613AC">
      <w:pPr>
        <w:pStyle w:val="copyright"/>
        <w:spacing w:line="240" w:lineRule="auto"/>
        <w:rPr>
          <w:sz w:val="22"/>
        </w:rPr>
      </w:pPr>
      <w:r>
        <w:rPr>
          <w:sz w:val="12"/>
          <w:lang w:val="pt-BR"/>
        </w:rPr>
        <w:br/>
      </w:r>
      <w:r>
        <w:rPr>
          <w:sz w:val="12"/>
          <w:lang w:val="pt-BR"/>
        </w:rPr>
        <w:br/>
      </w:r>
      <w:r w:rsidR="00D025E4" w:rsidRPr="004613AC">
        <w:rPr>
          <w:sz w:val="12"/>
          <w:lang w:val="pt-BR"/>
        </w:rPr>
        <w:t xml:space="preserve">© </w:t>
      </w:r>
      <w:proofErr w:type="gramStart"/>
      <w:r w:rsidR="00D025E4" w:rsidRPr="004613AC">
        <w:rPr>
          <w:sz w:val="12"/>
          <w:lang w:val="pt-BR"/>
        </w:rPr>
        <w:t xml:space="preserve">2010 </w:t>
      </w:r>
      <w:r w:rsidR="00D025E4" w:rsidRPr="004613AC">
        <w:rPr>
          <w:spacing w:val="14"/>
          <w:sz w:val="12"/>
          <w:lang w:val="pt-BR"/>
        </w:rPr>
        <w:t>MICROSOFT</w:t>
      </w:r>
      <w:proofErr w:type="gramEnd"/>
      <w:r w:rsidR="00D025E4" w:rsidRPr="004613AC">
        <w:rPr>
          <w:spacing w:val="14"/>
          <w:sz w:val="12"/>
          <w:lang w:val="pt-BR"/>
        </w:rPr>
        <w:t xml:space="preserve"> CORPORATION</w:t>
      </w:r>
      <w:r w:rsidR="00D025E4" w:rsidRPr="004613AC">
        <w:rPr>
          <w:sz w:val="12"/>
          <w:lang w:val="pt-BR"/>
        </w:rPr>
        <w:t>. Todos os direitos reservados.</w:t>
      </w:r>
      <w:r w:rsidR="00D025E4" w:rsidRPr="004613AC">
        <w:rPr>
          <w:sz w:val="12"/>
          <w:lang w:val="pt-BR"/>
        </w:rPr>
        <w:br/>
      </w:r>
      <w:r w:rsidR="00D025E4" w:rsidRPr="004613AC">
        <w:rPr>
          <w:sz w:val="12"/>
        </w:rPr>
        <w:t>Microsoft, Active Directory, Forefront, SharePoint e SharePoint são marcas registradas do grupo Microsoft.</w:t>
      </w:r>
      <w:r w:rsidR="00D025E4" w:rsidRPr="004613AC">
        <w:rPr>
          <w:rFonts w:ascii="Segoe UI" w:hAnsi="Segoe UI" w:cs="Segoe UI"/>
          <w:color w:val="7A7271"/>
          <w:sz w:val="12"/>
        </w:rPr>
        <w:t xml:space="preserve"> </w:t>
      </w:r>
      <w:r w:rsidR="00D025E4" w:rsidRPr="004613AC">
        <w:rPr>
          <w:sz w:val="12"/>
        </w:rPr>
        <w:br/>
      </w:r>
      <w:r w:rsidR="00D025E4" w:rsidRPr="004613AC">
        <w:rPr>
          <w:rFonts w:ascii="Segoe UI" w:hAnsi="Segoe UI" w:cs="Segoe UI"/>
          <w:color w:val="7A7271"/>
          <w:sz w:val="12"/>
          <w:lang w:val="pt-BR"/>
        </w:rPr>
        <w:t>Este documento tem propósito</w:t>
      </w:r>
      <w:r>
        <w:rPr>
          <w:rFonts w:ascii="Segoe UI" w:hAnsi="Segoe UI" w:cs="Segoe UI"/>
          <w:color w:val="7A7271"/>
          <w:sz w:val="12"/>
          <w:lang w:val="pt-BR"/>
        </w:rPr>
        <w:t>s</w:t>
      </w:r>
      <w:r w:rsidR="00D025E4" w:rsidRPr="004613AC">
        <w:rPr>
          <w:rFonts w:ascii="Segoe UI" w:hAnsi="Segoe UI" w:cs="Segoe UI"/>
          <w:color w:val="7A7271"/>
          <w:sz w:val="12"/>
          <w:lang w:val="pt-BR"/>
        </w:rPr>
        <w:t xml:space="preserve"> somente informativo</w:t>
      </w:r>
      <w:r>
        <w:rPr>
          <w:rFonts w:ascii="Segoe UI" w:hAnsi="Segoe UI" w:cs="Segoe UI"/>
          <w:color w:val="7A7271"/>
          <w:sz w:val="12"/>
          <w:lang w:val="pt-BR"/>
        </w:rPr>
        <w:t>s</w:t>
      </w:r>
      <w:r w:rsidR="00D025E4" w:rsidRPr="004613AC">
        <w:rPr>
          <w:rFonts w:ascii="Segoe UI" w:hAnsi="Segoe UI" w:cs="Segoe UI"/>
          <w:color w:val="7A7271"/>
          <w:sz w:val="12"/>
          <w:lang w:val="pt-BR"/>
        </w:rPr>
        <w:t xml:space="preserve">. A Microsoft não </w:t>
      </w:r>
      <w:r>
        <w:rPr>
          <w:rFonts w:ascii="Segoe UI" w:hAnsi="Segoe UI" w:cs="Segoe UI"/>
          <w:color w:val="7A7271"/>
          <w:sz w:val="12"/>
          <w:lang w:val="pt-BR"/>
        </w:rPr>
        <w:t>oferece</w:t>
      </w:r>
      <w:r w:rsidR="00D025E4" w:rsidRPr="004613AC">
        <w:rPr>
          <w:rFonts w:ascii="Segoe UI" w:hAnsi="Segoe UI" w:cs="Segoe UI"/>
          <w:color w:val="7A7271"/>
          <w:sz w:val="12"/>
          <w:lang w:val="pt-BR"/>
        </w:rPr>
        <w:t xml:space="preserve"> nenhuma garantia, expressa ou implícita, neste </w:t>
      </w:r>
      <w:proofErr w:type="gramStart"/>
      <w:r w:rsidR="00D025E4" w:rsidRPr="004613AC">
        <w:rPr>
          <w:rFonts w:ascii="Segoe UI" w:hAnsi="Segoe UI" w:cs="Segoe UI"/>
          <w:color w:val="7A7271"/>
          <w:sz w:val="12"/>
          <w:lang w:val="pt-BR"/>
        </w:rPr>
        <w:t>resumo.</w:t>
      </w:r>
      <w:proofErr w:type="gramEnd"/>
      <w:r w:rsidR="00FD7E77" w:rsidRPr="004613AC">
        <w:rPr>
          <w:noProof/>
          <w:sz w:val="22"/>
          <w:lang w:val="pt-BR" w:eastAsia="pt-BR"/>
        </w:rPr>
        <w:drawing>
          <wp:anchor distT="0" distB="0" distL="114300" distR="114300" simplePos="0" relativeHeight="251657728" behindDoc="1" locked="0" layoutInCell="1" allowOverlap="1" wp14:anchorId="7FAF7768" wp14:editId="0984D46F">
            <wp:simplePos x="0" y="0"/>
            <wp:positionH relativeFrom="column">
              <wp:posOffset>-1163320</wp:posOffset>
            </wp:positionH>
            <wp:positionV relativeFrom="paragraph">
              <wp:posOffset>118745</wp:posOffset>
            </wp:positionV>
            <wp:extent cx="7773035" cy="2750820"/>
            <wp:effectExtent l="19050" t="0" r="0" b="0"/>
            <wp:wrapNone/>
            <wp:docPr id="7" name="Picture 2" descr="MSFT1741-Doc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FT1741-Doc-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62F5" w:rsidRPr="004613AC" w:rsidSect="005B6378">
      <w:footerReference w:type="default" r:id="rId18"/>
      <w:headerReference w:type="first" r:id="rId19"/>
      <w:footerReference w:type="first" r:id="rId20"/>
      <w:type w:val="continuous"/>
      <w:pgSz w:w="12240" w:h="15840"/>
      <w:pgMar w:top="16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73" w:rsidRDefault="00E94373" w:rsidP="00F94284">
      <w:r>
        <w:separator/>
      </w:r>
    </w:p>
  </w:endnote>
  <w:endnote w:type="continuationSeparator" w:id="0">
    <w:p w:rsidR="00E94373" w:rsidRDefault="00E94373" w:rsidP="00F9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Light">
    <w:altName w:val="Segoe U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">
    <w:altName w:val="Times New Roman"/>
    <w:panose1 w:val="020B0502040504020203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Pr="00FD7E77" w:rsidRDefault="00FD7E77" w:rsidP="005B6378">
    <w:pPr>
      <w:pStyle w:val="copyright"/>
      <w:spacing w:line="192" w:lineRule="auto"/>
      <w:rPr>
        <w:rFonts w:ascii="Segoe UI" w:hAnsi="Segoe UI" w:cs="Segoe UI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26EFA66" wp14:editId="5688F963">
          <wp:simplePos x="0" y="0"/>
          <wp:positionH relativeFrom="column">
            <wp:posOffset>-1149985</wp:posOffset>
          </wp:positionH>
          <wp:positionV relativeFrom="paragraph">
            <wp:posOffset>-1916430</wp:posOffset>
          </wp:positionV>
          <wp:extent cx="7763510" cy="2752090"/>
          <wp:effectExtent l="19050" t="0" r="8890" b="0"/>
          <wp:wrapNone/>
          <wp:docPr id="5" name="Picture 2" descr="MSFT1741-Doc-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FT1741-Doc-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275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5E4" w:rsidRPr="00FD7E77">
      <w:rPr>
        <w:rFonts w:ascii="Segoe UI" w:hAnsi="Segoe UI" w:cs="Segoe UI"/>
        <w:lang w:val="pt-BR"/>
      </w:rPr>
      <w:t xml:space="preserve">© </w:t>
    </w:r>
    <w:proofErr w:type="gramStart"/>
    <w:r w:rsidR="00D025E4" w:rsidRPr="00FD7E77">
      <w:rPr>
        <w:rFonts w:ascii="Segoe UI" w:hAnsi="Segoe UI" w:cs="Segoe UI"/>
        <w:lang w:val="pt-BR"/>
      </w:rPr>
      <w:t xml:space="preserve">2008 </w:t>
    </w:r>
    <w:r w:rsidR="00D025E4" w:rsidRPr="00FD7E77">
      <w:rPr>
        <w:rFonts w:ascii="Segoe UI" w:hAnsi="Segoe UI" w:cs="Segoe UI"/>
        <w:spacing w:val="14"/>
        <w:lang w:val="pt-BR"/>
      </w:rPr>
      <w:t>MICROSOFT</w:t>
    </w:r>
    <w:proofErr w:type="gramEnd"/>
    <w:r w:rsidR="00D025E4" w:rsidRPr="00FD7E77">
      <w:rPr>
        <w:rFonts w:ascii="Segoe UI" w:hAnsi="Segoe UI" w:cs="Segoe UI"/>
        <w:spacing w:val="14"/>
        <w:lang w:val="pt-BR"/>
      </w:rPr>
      <w:t xml:space="preserve"> CORPORATION</w:t>
    </w:r>
    <w:r w:rsidR="00D025E4" w:rsidRPr="00FD7E77">
      <w:rPr>
        <w:rFonts w:ascii="Segoe UI" w:hAnsi="Segoe UI" w:cs="Segoe UI"/>
        <w:lang w:val="pt-BR"/>
      </w:rPr>
      <w:t>. Todos os direitos reservados.</w:t>
    </w:r>
  </w:p>
  <w:p w:rsidR="005B6378" w:rsidRPr="00FD7E77" w:rsidRDefault="00D025E4" w:rsidP="005B6378">
    <w:pPr>
      <w:autoSpaceDE w:val="0"/>
      <w:autoSpaceDN w:val="0"/>
      <w:adjustRightInd w:val="0"/>
      <w:spacing w:line="192" w:lineRule="auto"/>
      <w:rPr>
        <w:lang w:val="pt-BR"/>
      </w:rPr>
    </w:pPr>
    <w:r w:rsidRPr="00FD7E77">
      <w:rPr>
        <w:rFonts w:ascii="Segoe UI" w:hAnsi="Segoe UI" w:cs="Segoe UI"/>
        <w:color w:val="7A7271"/>
        <w:sz w:val="14"/>
        <w:szCs w:val="14"/>
        <w:lang w:val="pt-BR"/>
      </w:rPr>
      <w:t xml:space="preserve">Microsoft, Active Directory, Forefront e SharePoint são marcas registradas ou </w:t>
    </w:r>
    <w:r w:rsidRPr="00FD7E77">
      <w:rPr>
        <w:lang w:val="pt-BR"/>
      </w:rPr>
      <w:br/>
    </w:r>
    <w:r w:rsidRPr="00FD7E77">
      <w:rPr>
        <w:rFonts w:ascii="Segoe UI" w:hAnsi="Segoe UI" w:cs="Segoe UI"/>
        <w:color w:val="7A7271"/>
        <w:sz w:val="14"/>
        <w:szCs w:val="14"/>
        <w:lang w:val="pt-BR"/>
      </w:rPr>
      <w:t>comerciais da Microsoft Corporation nos Estados Unidos e/ou outros países.</w:t>
    </w:r>
    <w:r w:rsidRPr="00FD7E77">
      <w:rPr>
        <w:lang w:val="pt-BR"/>
      </w:rPr>
      <w:br/>
    </w:r>
    <w:r>
      <w:rPr>
        <w:rFonts w:ascii="Segoe UI" w:hAnsi="Segoe UI" w:cs="Segoe UI"/>
        <w:color w:val="7A7271"/>
        <w:sz w:val="14"/>
        <w:szCs w:val="14"/>
      </w:rPr>
      <w:t>Este folheto destina-se a fins</w:t>
    </w:r>
    <w:r w:rsidRPr="009133C8">
      <w:rPr>
        <w:rFonts w:ascii="Segoe UI" w:hAnsi="Segoe UI" w:cs="Segoe UI"/>
        <w:color w:val="7A7271"/>
        <w:sz w:val="14"/>
        <w:szCs w:val="14"/>
        <w:lang w:val="pt-BR"/>
      </w:rPr>
      <w:t xml:space="preserve"> exclusivamente informativos</w:t>
    </w:r>
    <w:r>
      <w:rPr>
        <w:rFonts w:ascii="Segoe UI" w:hAnsi="Segoe UI" w:cs="Segoe UI"/>
        <w:color w:val="7A7271"/>
        <w:sz w:val="14"/>
        <w:szCs w:val="14"/>
      </w:rPr>
      <w:t xml:space="preserve">. </w:t>
    </w:r>
    <w:r w:rsidRPr="00FD7E77">
      <w:rPr>
        <w:rFonts w:ascii="Segoe UI" w:hAnsi="Segoe UI" w:cs="Segoe UI"/>
        <w:color w:val="7A7271"/>
        <w:sz w:val="14"/>
        <w:szCs w:val="14"/>
        <w:lang w:val="pt-BR"/>
      </w:rPr>
      <w:t xml:space="preserve">A Microsoft não dá nenhuma </w:t>
    </w:r>
    <w:proofErr w:type="gramStart"/>
    <w:r w:rsidRPr="00FD7E77">
      <w:rPr>
        <w:rFonts w:ascii="Segoe UI" w:hAnsi="Segoe UI" w:cs="Segoe UI"/>
        <w:color w:val="7A7271"/>
        <w:sz w:val="14"/>
        <w:szCs w:val="14"/>
        <w:lang w:val="pt-BR"/>
      </w:rPr>
      <w:t>garantia,</w:t>
    </w:r>
    <w:proofErr w:type="gramEnd"/>
    <w:r w:rsidRPr="00FD7E77">
      <w:rPr>
        <w:rFonts w:ascii="Segoe UI" w:hAnsi="Segoe UI" w:cs="Segoe UI"/>
        <w:color w:val="7A7271"/>
        <w:sz w:val="14"/>
        <w:szCs w:val="14"/>
        <w:lang w:val="pt-BR"/>
      </w:rPr>
      <w:t xml:space="preserve"> expressa ou implícita, neste resumo.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Default="00FD7E7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60CEB83D" wp14:editId="757EDACB">
          <wp:simplePos x="0" y="0"/>
          <wp:positionH relativeFrom="column">
            <wp:posOffset>-908685</wp:posOffset>
          </wp:positionH>
          <wp:positionV relativeFrom="paragraph">
            <wp:posOffset>-1910715</wp:posOffset>
          </wp:positionV>
          <wp:extent cx="7761605" cy="2635885"/>
          <wp:effectExtent l="19050" t="0" r="0" b="0"/>
          <wp:wrapNone/>
          <wp:docPr id="3" name="Picture 1" descr="MSFT1741-Doc-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T1741-Doc-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263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Pr="00460BF3" w:rsidRDefault="00E94373" w:rsidP="005B637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Default="00FD7E7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-1910715</wp:posOffset>
          </wp:positionV>
          <wp:extent cx="7761605" cy="2635885"/>
          <wp:effectExtent l="19050" t="0" r="0" b="0"/>
          <wp:wrapNone/>
          <wp:docPr id="1" name="Picture 1" descr="MSFT1741-Doc-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T1741-Doc-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263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73" w:rsidRDefault="00E94373" w:rsidP="00F94284">
      <w:r>
        <w:separator/>
      </w:r>
    </w:p>
  </w:footnote>
  <w:footnote w:type="continuationSeparator" w:id="0">
    <w:p w:rsidR="00E94373" w:rsidRDefault="00E94373" w:rsidP="00F9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Pr="005A5411" w:rsidRDefault="00FD7E77" w:rsidP="005A54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72D1AA3" wp14:editId="3863A99F">
          <wp:simplePos x="0" y="0"/>
          <wp:positionH relativeFrom="column">
            <wp:posOffset>-209550</wp:posOffset>
          </wp:positionH>
          <wp:positionV relativeFrom="paragraph">
            <wp:posOffset>234315</wp:posOffset>
          </wp:positionV>
          <wp:extent cx="5586730" cy="262255"/>
          <wp:effectExtent l="19050" t="0" r="0" b="0"/>
          <wp:wrapNone/>
          <wp:docPr id="6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dicated str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7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5E4">
      <w:t xml:space="preserve"> Microsoft SharePoint Online</w:t>
    </w:r>
  </w:p>
  <w:p w:rsidR="005B6378" w:rsidRDefault="00E943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Pr="007252DF" w:rsidRDefault="00FD7E77" w:rsidP="005B6378">
    <w:pPr>
      <w:pStyle w:val="Style1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FD43F1A" wp14:editId="6C85B71D">
          <wp:simplePos x="0" y="0"/>
          <wp:positionH relativeFrom="column">
            <wp:posOffset>19050</wp:posOffset>
          </wp:positionH>
          <wp:positionV relativeFrom="paragraph">
            <wp:posOffset>353695</wp:posOffset>
          </wp:positionV>
          <wp:extent cx="5933440" cy="259080"/>
          <wp:effectExtent l="19050" t="0" r="0" b="0"/>
          <wp:wrapNone/>
          <wp:docPr id="4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dicated str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5E4">
      <w:t xml:space="preserve"> Microsoft SharePoint Online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8" w:rsidRPr="007252DF" w:rsidRDefault="00FD7E77" w:rsidP="00F94284">
    <w:pPr>
      <w:pStyle w:val="Style1"/>
      <w:tabs>
        <w:tab w:val="left" w:pos="7560"/>
      </w:tabs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353695</wp:posOffset>
          </wp:positionV>
          <wp:extent cx="5933440" cy="259080"/>
          <wp:effectExtent l="19050" t="0" r="0" b="0"/>
          <wp:wrapNone/>
          <wp:docPr id="2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dicated str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5E4">
      <w:t>O Microsoft Exchange Online</w:t>
    </w:r>
    <w:r w:rsidR="00D025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096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23B40"/>
    <w:multiLevelType w:val="hybridMultilevel"/>
    <w:tmpl w:val="7600567A"/>
    <w:lvl w:ilvl="0" w:tplc="2CFAE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E2C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5284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A2B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72A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C0E1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9E7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DE17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38D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944DF"/>
    <w:multiLevelType w:val="hybridMultilevel"/>
    <w:tmpl w:val="777E78F8"/>
    <w:lvl w:ilvl="0" w:tplc="211ECB52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977A8C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FCB6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6291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0CDE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FA9D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470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A72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A26E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63553"/>
    <w:multiLevelType w:val="hybridMultilevel"/>
    <w:tmpl w:val="E17615E8"/>
    <w:lvl w:ilvl="0" w:tplc="96500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480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C27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CC82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A4A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5CFD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6B6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FE22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2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87A54"/>
    <w:multiLevelType w:val="hybridMultilevel"/>
    <w:tmpl w:val="0E202A5C"/>
    <w:lvl w:ilvl="0" w:tplc="4F141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A883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6A4F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A1E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52FA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EF7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F800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5A79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749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43489"/>
    <w:multiLevelType w:val="hybridMultilevel"/>
    <w:tmpl w:val="71D0C52E"/>
    <w:lvl w:ilvl="0" w:tplc="81DA207C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BB30AD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A6E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BEA6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FED4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5CCF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E461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74D9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3469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27F7F"/>
    <w:multiLevelType w:val="hybridMultilevel"/>
    <w:tmpl w:val="A120F7A2"/>
    <w:lvl w:ilvl="0" w:tplc="75C43E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DE84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AB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1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AE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2B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4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AD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B73AB"/>
    <w:multiLevelType w:val="hybridMultilevel"/>
    <w:tmpl w:val="0B425BDE"/>
    <w:lvl w:ilvl="0" w:tplc="D45C87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A3C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EC26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8E72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5C18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749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0A29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543A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7E7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33"/>
    <w:rsid w:val="004613AC"/>
    <w:rsid w:val="009133C8"/>
    <w:rsid w:val="00932A64"/>
    <w:rsid w:val="00CC7C2B"/>
    <w:rsid w:val="00D025E4"/>
    <w:rsid w:val="00E94373"/>
    <w:rsid w:val="00ED7533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E"/>
    <w:rPr>
      <w:iCs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D75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D4D2E"/>
    <w:pPr>
      <w:autoSpaceDE w:val="0"/>
      <w:autoSpaceDN w:val="0"/>
      <w:adjustRightInd w:val="0"/>
      <w:spacing w:after="120" w:line="240" w:lineRule="exact"/>
      <w:outlineLvl w:val="1"/>
    </w:pPr>
    <w:rPr>
      <w:rFonts w:ascii="Segoe UI" w:eastAsia="Times New Roman" w:hAnsi="Segoe UI" w:cs="Segoe UI"/>
      <w:iCs w:val="0"/>
      <w:color w:val="0678B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autoRedefine/>
    <w:uiPriority w:val="99"/>
    <w:unhideWhenUsed/>
    <w:rsid w:val="00371DCE"/>
    <w:pPr>
      <w:numPr>
        <w:numId w:val="2"/>
      </w:numPr>
      <w:contextualSpacing/>
    </w:pPr>
    <w:rPr>
      <w:iCs w:val="0"/>
    </w:rPr>
  </w:style>
  <w:style w:type="paragraph" w:styleId="Cabealho">
    <w:name w:val="header"/>
    <w:basedOn w:val="Normal"/>
    <w:link w:val="CabealhoChar"/>
    <w:autoRedefine/>
    <w:uiPriority w:val="99"/>
    <w:rsid w:val="005A5411"/>
    <w:rPr>
      <w:rFonts w:ascii="Segoe UI" w:eastAsia="Arial Narrow" w:hAnsi="Segoe UI" w:cs="Segoe UI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5A5411"/>
    <w:rPr>
      <w:rFonts w:ascii="Segoe UI" w:eastAsia="Arial Narrow" w:hAnsi="Segoe UI" w:cs="Segoe UI"/>
      <w:iCs/>
      <w:sz w:val="32"/>
      <w:szCs w:val="32"/>
    </w:rPr>
  </w:style>
  <w:style w:type="paragraph" w:customStyle="1" w:styleId="BodyText">
    <w:name w:val="BodyText"/>
    <w:basedOn w:val="Normal"/>
    <w:autoRedefine/>
    <w:qFormat/>
    <w:rsid w:val="00904808"/>
    <w:pPr>
      <w:widowControl w:val="0"/>
      <w:autoSpaceDE w:val="0"/>
      <w:autoSpaceDN w:val="0"/>
      <w:adjustRightInd w:val="0"/>
      <w:spacing w:before="40" w:after="88" w:line="240" w:lineRule="exact"/>
    </w:pPr>
    <w:rPr>
      <w:rFonts w:ascii="Arial" w:eastAsia="Times New Roman" w:hAnsi="Arial"/>
      <w:iCs w:val="0"/>
      <w:color w:val="000000"/>
      <w:sz w:val="20"/>
      <w:szCs w:val="22"/>
    </w:rPr>
  </w:style>
  <w:style w:type="paragraph" w:styleId="Rodap">
    <w:name w:val="footer"/>
    <w:basedOn w:val="Normal"/>
    <w:link w:val="RodapChar"/>
    <w:uiPriority w:val="99"/>
    <w:unhideWhenUsed/>
    <w:rsid w:val="00ED753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7533"/>
    <w:rPr>
      <w:iCs/>
      <w:sz w:val="24"/>
      <w:szCs w:val="24"/>
    </w:rPr>
  </w:style>
  <w:style w:type="paragraph" w:customStyle="1" w:styleId="Style1">
    <w:name w:val="Style1"/>
    <w:basedOn w:val="Ttulo1"/>
    <w:link w:val="Style1Char"/>
    <w:autoRedefine/>
    <w:qFormat/>
    <w:rsid w:val="00ED7533"/>
    <w:pPr>
      <w:keepLines w:val="0"/>
      <w:suppressAutoHyphens/>
      <w:spacing w:before="240" w:after="60" w:line="280" w:lineRule="exact"/>
    </w:pPr>
    <w:rPr>
      <w:rFonts w:ascii="Segoe Light" w:hAnsi="Segoe Light"/>
      <w:bCs w:val="0"/>
      <w:iCs w:val="0"/>
      <w:color w:val="4F81BD"/>
      <w:kern w:val="32"/>
      <w:sz w:val="48"/>
      <w:szCs w:val="32"/>
    </w:rPr>
  </w:style>
  <w:style w:type="character" w:customStyle="1" w:styleId="Style1Char">
    <w:name w:val="Style1 Char"/>
    <w:basedOn w:val="Fontepargpadro"/>
    <w:link w:val="Style1"/>
    <w:rsid w:val="00ED7533"/>
    <w:rPr>
      <w:rFonts w:ascii="Segoe Light" w:eastAsia="Times New Roman" w:hAnsi="Segoe Light" w:cs="Times New Roman"/>
      <w:b/>
      <w:color w:val="4F81BD"/>
      <w:kern w:val="32"/>
      <w:sz w:val="48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D7533"/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753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7533"/>
    <w:rPr>
      <w:rFonts w:ascii="Tahoma" w:hAnsi="Tahoma" w:cs="Tahoma"/>
      <w:i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84"/>
    <w:rPr>
      <w:rFonts w:ascii="Tahoma" w:hAnsi="Tahoma" w:cs="Tahoma"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42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4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2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284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284"/>
    <w:rPr>
      <w:b/>
      <w:bCs/>
      <w:iCs/>
      <w:sz w:val="20"/>
      <w:szCs w:val="20"/>
    </w:rPr>
  </w:style>
  <w:style w:type="paragraph" w:customStyle="1" w:styleId="copyright">
    <w:name w:val="copyright"/>
    <w:basedOn w:val="Normal"/>
    <w:next w:val="Normal"/>
    <w:uiPriority w:val="99"/>
    <w:rsid w:val="00C221B2"/>
    <w:pPr>
      <w:autoSpaceDE w:val="0"/>
      <w:autoSpaceDN w:val="0"/>
      <w:adjustRightInd w:val="0"/>
      <w:spacing w:line="260" w:lineRule="atLeast"/>
      <w:textAlignment w:val="center"/>
    </w:pPr>
    <w:rPr>
      <w:rFonts w:ascii="Segoe Book" w:eastAsia="Times New Roman" w:hAnsi="Segoe Book" w:cs="Segoe Book"/>
      <w:iCs w:val="0"/>
      <w:color w:val="787270"/>
      <w:sz w:val="14"/>
      <w:szCs w:val="14"/>
    </w:rPr>
  </w:style>
  <w:style w:type="character" w:customStyle="1" w:styleId="Ttulo2Char">
    <w:name w:val="Título 2 Char"/>
    <w:basedOn w:val="Fontepargpadro"/>
    <w:link w:val="Ttulo2"/>
    <w:uiPriority w:val="9"/>
    <w:rsid w:val="009D4D2E"/>
    <w:rPr>
      <w:rFonts w:ascii="Segoe UI" w:eastAsia="Times New Roman" w:hAnsi="Segoe UI" w:cs="Segoe UI"/>
      <w:color w:val="0678B6"/>
    </w:rPr>
  </w:style>
  <w:style w:type="paragraph" w:styleId="Reviso">
    <w:name w:val="Revision"/>
    <w:hidden/>
    <w:uiPriority w:val="99"/>
    <w:semiHidden/>
    <w:rsid w:val="00E11220"/>
    <w:rPr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2009-08-18T19:24:00Z</outs:dateTime>
      <outs:isPinned>true</outs:isPinned>
    </outs:relatedDate>
    <outs:relatedDate>
      <outs:type>2</outs:type>
      <outs:displayName>Created</outs:displayName>
      <outs:dateTime>2009-08-18T19:24:00Z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petersat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7AD6C49FD147BAECFE3284CC61AB" ma:contentTypeVersion="0" ma:contentTypeDescription="Create a new document." ma:contentTypeScope="" ma:versionID="9a6327f09d7b17d5eb958ed36bcf2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13D3-5097-4B7A-A927-F3CEBD044F0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5F599E4-37DA-4130-B466-440E1BBF9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F18EE-B55E-44F6-9A3C-95945F394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706DC-56B5-40EE-9195-7824F57BAFC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DDB8F5-F303-4F1F-9BDA-808CF215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974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SharePoint Online Dedicated Datasheet April 2010</vt:lpstr>
      <vt:lpstr>SharePoint Online Dedicated Datasheet April 2010</vt:lpstr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Online Dedicated Datasheet April 2010</dc:title>
  <dc:creator>Microsoft</dc:creator>
  <cp:lastModifiedBy>Francisco Baddini</cp:lastModifiedBy>
  <cp:revision>5</cp:revision>
  <dcterms:created xsi:type="dcterms:W3CDTF">2010-04-26T14:03:00Z</dcterms:created>
  <dcterms:modified xsi:type="dcterms:W3CDTF">2010-04-26T18:15:00Z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0x010100C83B7AD6C49FD147BAECFE3284CC61AB</vt:lpwstr>
  </property>
</Properties>
</file>