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F" w:rsidRPr="00F73E03" w:rsidRDefault="009D74DF" w:rsidP="009D74DF">
      <w:pPr>
        <w:pStyle w:val="BodyText"/>
        <w:keepNext/>
        <w:framePr w:dropCap="drop" w:lines="2" w:wrap="around" w:vAnchor="text" w:hAnchor="text"/>
        <w:autoSpaceDE/>
        <w:autoSpaceDN/>
        <w:adjustRightInd/>
        <w:spacing w:after="0" w:line="452" w:lineRule="exact"/>
        <w:textAlignment w:val="baseline"/>
        <w:rPr>
          <w:position w:val="-5"/>
          <w:sz w:val="48"/>
        </w:rPr>
      </w:pPr>
      <w:r w:rsidRPr="00F73E03">
        <w:rPr>
          <w:position w:val="-5"/>
          <w:sz w:val="48"/>
          <w:szCs w:val="16"/>
        </w:rPr>
        <w:t>M</w:t>
      </w:r>
    </w:p>
    <w:p w:rsidR="00ED7533" w:rsidRPr="00F73E03" w:rsidRDefault="00ED7533" w:rsidP="000332E6">
      <w:pPr>
        <w:pStyle w:val="BodyText"/>
        <w:rPr>
          <w:sz w:val="16"/>
          <w:lang w:val="pt-BR"/>
        </w:rPr>
      </w:pPr>
      <w:r w:rsidRPr="00F73E03">
        <w:rPr>
          <w:sz w:val="16"/>
          <w:szCs w:val="16"/>
          <w:lang w:val="pt-BR"/>
        </w:rPr>
        <w:t>ensa</w:t>
      </w:r>
      <w:r w:rsidR="00F73E03">
        <w:rPr>
          <w:sz w:val="16"/>
          <w:szCs w:val="16"/>
          <w:lang w:val="pt-BR"/>
        </w:rPr>
        <w:t xml:space="preserve">geria é uma aplicação </w:t>
      </w:r>
      <w:r w:rsidRPr="00F73E03">
        <w:rPr>
          <w:sz w:val="16"/>
          <w:szCs w:val="16"/>
          <w:lang w:val="pt-BR"/>
        </w:rPr>
        <w:t xml:space="preserve">crítica para os negócios, mas oferecer serviços de e-mail repletos de recursos pode ser um desafio. Os requisitos regulamentares estão se tornando cada vez mais complexos. Atividades de fusões e venda de empresas exigem um ajuste rápido da capacidade de serviço. A especialidade técnica nunca teve tanta demanda. As regras econômicas de "compra versus desenvolvimento" estão mudando. </w:t>
      </w:r>
    </w:p>
    <w:p w:rsidR="00ED7533" w:rsidRPr="00F73E03" w:rsidRDefault="00ED7533" w:rsidP="000332E6">
      <w:pPr>
        <w:pStyle w:val="BodyText"/>
        <w:rPr>
          <w:iCs/>
          <w:sz w:val="16"/>
          <w:lang w:val="pt-BR"/>
        </w:rPr>
      </w:pPr>
      <w:proofErr w:type="gramStart"/>
      <w:r w:rsidRPr="00F73E03">
        <w:rPr>
          <w:sz w:val="16"/>
          <w:szCs w:val="16"/>
          <w:lang w:val="pt-BR"/>
        </w:rPr>
        <w:t>O Microsoft</w:t>
      </w:r>
      <w:proofErr w:type="gramEnd"/>
      <w:r w:rsidRPr="00F73E03">
        <w:rPr>
          <w:sz w:val="10"/>
          <w:szCs w:val="12"/>
          <w:lang w:val="pt-BR"/>
        </w:rPr>
        <w:t>®</w:t>
      </w:r>
      <w:r w:rsidRPr="00F73E03">
        <w:rPr>
          <w:sz w:val="16"/>
          <w:szCs w:val="16"/>
          <w:lang w:val="pt-BR"/>
        </w:rPr>
        <w:t xml:space="preserve"> Exchange Online fornece uma solução de sistema de mensagens corporativo, hospedado remotamente e baseado no Microsoft Exchange Server. Esta solução faz uso de poderosos produtos Microsoft, práticas recomendadas desenvolvidas com parceiros e clientes Microsoft, bem como da experiência operacional com aplicações de mensagens corporativas internas da Microsoft para oferecer um serviço de missão crítica de nível internacional.</w:t>
      </w:r>
    </w:p>
    <w:p w:rsidR="00291445" w:rsidRPr="00F73E03" w:rsidRDefault="00291445" w:rsidP="00ED7533">
      <w:pPr>
        <w:autoSpaceDE w:val="0"/>
        <w:autoSpaceDN w:val="0"/>
        <w:adjustRightInd w:val="0"/>
        <w:spacing w:line="260" w:lineRule="atLeast"/>
        <w:textAlignment w:val="center"/>
        <w:rPr>
          <w:rFonts w:ascii="Segoe UI" w:eastAsia="Times New Roman" w:hAnsi="Segoe UI" w:cs="Segoe UI"/>
          <w:iCs w:val="0"/>
          <w:color w:val="787270"/>
          <w:sz w:val="16"/>
          <w:szCs w:val="17"/>
          <w:lang w:val="pt-BR"/>
        </w:rPr>
      </w:pPr>
    </w:p>
    <w:p w:rsidR="00ED7533" w:rsidRPr="00F73E03" w:rsidRDefault="00ED7533" w:rsidP="00ED7533">
      <w:pPr>
        <w:autoSpaceDE w:val="0"/>
        <w:autoSpaceDN w:val="0"/>
        <w:adjustRightInd w:val="0"/>
        <w:spacing w:after="280" w:line="260" w:lineRule="atLeast"/>
        <w:textAlignment w:val="center"/>
        <w:outlineLvl w:val="0"/>
        <w:rPr>
          <w:rFonts w:ascii="Segoe Light" w:eastAsia="Times New Roman" w:hAnsi="Segoe Light" w:cs="Segoe Light"/>
          <w:iCs w:val="0"/>
          <w:color w:val="C39E34"/>
          <w:sz w:val="32"/>
          <w:szCs w:val="36"/>
          <w:lang w:val="pt-BR"/>
        </w:rPr>
      </w:pPr>
      <w:r w:rsidRPr="00F73E03">
        <w:rPr>
          <w:rFonts w:ascii="Segoe Light" w:hAnsi="Segoe Light" w:cs="Segoe Light"/>
          <w:iCs w:val="0"/>
          <w:color w:val="C39E34"/>
          <w:sz w:val="32"/>
          <w:szCs w:val="36"/>
          <w:lang w:val="pt-BR"/>
        </w:rPr>
        <w:t xml:space="preserve">Como </w:t>
      </w:r>
      <w:r w:rsidR="00F73E03">
        <w:rPr>
          <w:rFonts w:ascii="Segoe Light" w:hAnsi="Segoe Light" w:cs="Segoe Light"/>
          <w:iCs w:val="0"/>
          <w:color w:val="C39E34"/>
          <w:sz w:val="32"/>
          <w:szCs w:val="36"/>
          <w:lang w:val="pt-BR"/>
        </w:rPr>
        <w:t xml:space="preserve">Ele </w:t>
      </w:r>
      <w:r w:rsidRPr="00F73E03">
        <w:rPr>
          <w:rFonts w:ascii="Segoe Light" w:hAnsi="Segoe Light" w:cs="Segoe Light"/>
          <w:iCs w:val="0"/>
          <w:color w:val="C39E34"/>
          <w:sz w:val="32"/>
          <w:szCs w:val="36"/>
          <w:lang w:val="pt-BR"/>
        </w:rPr>
        <w:t>Funciona</w:t>
      </w:r>
    </w:p>
    <w:p w:rsidR="00ED7533" w:rsidRPr="00F73E03" w:rsidRDefault="00ED7533" w:rsidP="000332E6">
      <w:pPr>
        <w:pStyle w:val="BodyText"/>
        <w:rPr>
          <w:sz w:val="16"/>
          <w:lang w:val="pt-BR"/>
        </w:rPr>
      </w:pPr>
      <w:r w:rsidRPr="00F73E03">
        <w:rPr>
          <w:sz w:val="16"/>
          <w:szCs w:val="16"/>
          <w:lang w:val="pt-BR"/>
        </w:rPr>
        <w:t xml:space="preserve">É fácil começar a usar o Exchange Online na sua empresa. No cerne da solução estão os datacenters da Microsoft espalhados pelo mundo. Cada </w:t>
      </w:r>
      <w:r w:rsidR="00F73E03">
        <w:rPr>
          <w:sz w:val="16"/>
          <w:szCs w:val="16"/>
          <w:lang w:val="pt-BR"/>
        </w:rPr>
        <w:t>datacenter</w:t>
      </w:r>
      <w:r w:rsidRPr="00F73E03">
        <w:rPr>
          <w:sz w:val="16"/>
          <w:szCs w:val="16"/>
          <w:lang w:val="pt-BR"/>
        </w:rPr>
        <w:t xml:space="preserve"> hospeda uma rede </w:t>
      </w:r>
      <w:r w:rsidR="00F73E03">
        <w:rPr>
          <w:sz w:val="16"/>
          <w:szCs w:val="16"/>
          <w:lang w:val="pt-BR"/>
        </w:rPr>
        <w:t>de alta disponibilidade</w:t>
      </w:r>
      <w:r w:rsidRPr="00F73E03">
        <w:rPr>
          <w:sz w:val="16"/>
          <w:szCs w:val="16"/>
          <w:lang w:val="pt-BR"/>
        </w:rPr>
        <w:t xml:space="preserve"> </w:t>
      </w:r>
      <w:r w:rsidR="00F73E03">
        <w:rPr>
          <w:sz w:val="16"/>
          <w:szCs w:val="16"/>
          <w:lang w:val="pt-BR"/>
        </w:rPr>
        <w:t>com</w:t>
      </w:r>
      <w:r w:rsidRPr="00F73E03">
        <w:rPr>
          <w:sz w:val="16"/>
          <w:szCs w:val="16"/>
          <w:lang w:val="pt-BR"/>
        </w:rPr>
        <w:t xml:space="preserve"> equipamentos que hospedam sua solução de e-mail. Os servidores necessários para suportar sua organização são dedicados somente a você e seus dados são mantidos sempre separados dos de outras organizações. Além disso, as informações do seu diretório são constantemente sincronizadas para o diretório nos </w:t>
      </w:r>
      <w:r w:rsidR="00F73E03">
        <w:rPr>
          <w:sz w:val="16"/>
          <w:szCs w:val="16"/>
          <w:lang w:val="pt-BR"/>
        </w:rPr>
        <w:t>datacenter</w:t>
      </w:r>
      <w:r w:rsidRPr="00F73E03">
        <w:rPr>
          <w:sz w:val="16"/>
          <w:szCs w:val="16"/>
          <w:lang w:val="pt-BR"/>
        </w:rPr>
        <w:t xml:space="preserve">s da Microsoft, para que os usuários possam acessar seus e-mails de forma </w:t>
      </w:r>
      <w:r w:rsidR="00F73E03">
        <w:rPr>
          <w:sz w:val="16"/>
          <w:szCs w:val="16"/>
          <w:lang w:val="pt-BR"/>
        </w:rPr>
        <w:t>transparente</w:t>
      </w:r>
      <w:r w:rsidRPr="00F73E03">
        <w:rPr>
          <w:sz w:val="16"/>
          <w:szCs w:val="16"/>
          <w:lang w:val="pt-BR"/>
        </w:rPr>
        <w:t xml:space="preserve"> </w:t>
      </w:r>
      <w:r w:rsidR="00F73E03">
        <w:rPr>
          <w:sz w:val="16"/>
          <w:szCs w:val="16"/>
          <w:lang w:val="pt-BR"/>
        </w:rPr>
        <w:t>em</w:t>
      </w:r>
      <w:r w:rsidRPr="00F73E03">
        <w:rPr>
          <w:sz w:val="16"/>
          <w:szCs w:val="16"/>
          <w:lang w:val="pt-BR"/>
        </w:rPr>
        <w:t xml:space="preserve"> uma ampla gama de dispositivos</w:t>
      </w:r>
      <w:r w:rsidR="00F73E03">
        <w:rPr>
          <w:sz w:val="16"/>
          <w:szCs w:val="16"/>
          <w:lang w:val="pt-BR"/>
        </w:rPr>
        <w:t>,</w:t>
      </w:r>
      <w:r w:rsidRPr="00F73E03">
        <w:rPr>
          <w:sz w:val="16"/>
          <w:szCs w:val="16"/>
          <w:lang w:val="pt-BR"/>
        </w:rPr>
        <w:t xml:space="preserve"> em qualquer lugar do mundo - de dentro da sua rede corporativa e através da Internet, de forma segura.</w:t>
      </w:r>
    </w:p>
    <w:p w:rsidR="00ED7533" w:rsidRPr="00F73E03" w:rsidRDefault="00F94284" w:rsidP="00ED7533">
      <w:pPr>
        <w:autoSpaceDE w:val="0"/>
        <w:autoSpaceDN w:val="0"/>
        <w:adjustRightInd w:val="0"/>
        <w:rPr>
          <w:rFonts w:ascii="Segoe" w:eastAsia="Times New Roman" w:hAnsi="Segoe" w:cs="Segoe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87270"/>
          <w:sz w:val="16"/>
          <w:szCs w:val="16"/>
          <w:lang w:val="pt-BR"/>
        </w:rPr>
        <w:t>Com o Exchange Online</w:t>
      </w:r>
      <w:r w:rsidR="00F73E03">
        <w:rPr>
          <w:rFonts w:ascii="Segoe UI" w:hAnsi="Segoe UI" w:cs="Segoe UI"/>
          <w:iCs w:val="0"/>
          <w:color w:val="787270"/>
          <w:sz w:val="16"/>
          <w:szCs w:val="16"/>
          <w:lang w:val="pt-BR"/>
        </w:rPr>
        <w:t xml:space="preserve"> </w:t>
      </w:r>
      <w:r w:rsidRPr="00F73E03">
        <w:rPr>
          <w:rFonts w:ascii="Segoe UI" w:hAnsi="Segoe UI" w:cs="Segoe UI"/>
          <w:iCs w:val="0"/>
          <w:color w:val="787270"/>
          <w:sz w:val="16"/>
          <w:szCs w:val="16"/>
          <w:lang w:val="pt-BR"/>
        </w:rPr>
        <w:t>—</w:t>
      </w:r>
      <w:r w:rsidR="00F73E03">
        <w:rPr>
          <w:rFonts w:ascii="Segoe UI" w:hAnsi="Segoe UI" w:cs="Segoe UI"/>
          <w:iCs w:val="0"/>
          <w:color w:val="787270"/>
          <w:sz w:val="16"/>
          <w:szCs w:val="16"/>
          <w:lang w:val="pt-BR"/>
        </w:rPr>
        <w:t xml:space="preserve"> </w:t>
      </w:r>
      <w:r w:rsidRPr="00F73E03">
        <w:rPr>
          <w:rFonts w:ascii="Segoe UI" w:hAnsi="Segoe UI" w:cs="Segoe UI"/>
          <w:iCs w:val="0"/>
          <w:color w:val="787270"/>
          <w:sz w:val="16"/>
          <w:szCs w:val="16"/>
          <w:lang w:val="pt-BR"/>
        </w:rPr>
        <w:t xml:space="preserve">parte de um pacote de soluções hospedadas de comunicação e colaboração do Microsoft Online </w:t>
      </w:r>
      <w:r w:rsidR="00FE03AD" w:rsidRPr="00F73E03">
        <w:rPr>
          <w:rFonts w:ascii="Segoe UI" w:hAnsi="Segoe UI" w:cs="Segoe UI"/>
          <w:iCs w:val="0"/>
          <w:color w:val="787270"/>
          <w:sz w:val="16"/>
          <w:szCs w:val="16"/>
          <w:lang w:val="pt-BR"/>
        </w:rPr>
        <w:t>Services — sua</w:t>
      </w:r>
      <w:r w:rsidRPr="00F73E03">
        <w:rPr>
          <w:rFonts w:ascii="Segoe UI" w:hAnsi="Segoe UI" w:cs="Segoe UI"/>
          <w:iCs w:val="0"/>
          <w:color w:val="787270"/>
          <w:sz w:val="16"/>
          <w:szCs w:val="16"/>
          <w:lang w:val="pt-BR"/>
        </w:rPr>
        <w:t xml:space="preserve"> equipe de TI terá controle total sobre os serviços disponíveis para usuários finais. A integração simples com o serviço Active Directory</w:t>
      </w:r>
      <w:r w:rsidRPr="00F73E03">
        <w:rPr>
          <w:rFonts w:ascii="Segoe UI" w:hAnsi="Segoe UI" w:cs="Segoe UI"/>
          <w:iCs w:val="0"/>
          <w:color w:val="787270"/>
          <w:sz w:val="10"/>
          <w:szCs w:val="12"/>
          <w:lang w:val="pt-BR"/>
        </w:rPr>
        <w:t>®</w:t>
      </w:r>
      <w:r w:rsidRPr="00F73E03">
        <w:rPr>
          <w:rFonts w:ascii="Segoe UI" w:hAnsi="Segoe UI" w:cs="Segoe UI"/>
          <w:iCs w:val="0"/>
          <w:color w:val="787270"/>
          <w:sz w:val="16"/>
          <w:szCs w:val="16"/>
          <w:lang w:val="pt-BR"/>
        </w:rPr>
        <w:t xml:space="preserve"> permite a você controlar quais serviços estão disponíveis por meio das diretivas de grupo existentes. E os usuários podem desfrutar da praticidade do acesso com logon único em todos os serviços hospedados.</w:t>
      </w:r>
    </w:p>
    <w:p w:rsidR="00291445" w:rsidRPr="00F73E03" w:rsidRDefault="00291445" w:rsidP="00ED7533">
      <w:pPr>
        <w:autoSpaceDE w:val="0"/>
        <w:autoSpaceDN w:val="0"/>
        <w:adjustRightInd w:val="0"/>
        <w:spacing w:line="260" w:lineRule="atLeast"/>
        <w:textAlignment w:val="center"/>
        <w:rPr>
          <w:rFonts w:ascii="Segoe UI" w:eastAsia="Times New Roman" w:hAnsi="Segoe UI" w:cs="Segoe UI"/>
          <w:iCs w:val="0"/>
          <w:color w:val="787270"/>
          <w:sz w:val="16"/>
          <w:szCs w:val="17"/>
          <w:lang w:val="pt-BR"/>
        </w:rPr>
      </w:pPr>
    </w:p>
    <w:p w:rsidR="00ED7533" w:rsidRPr="00F73E03" w:rsidRDefault="00F73E03" w:rsidP="000332E6">
      <w:pPr>
        <w:pStyle w:val="Ttulo2"/>
        <w:rPr>
          <w:sz w:val="20"/>
          <w:lang w:val="pt-BR"/>
        </w:rPr>
      </w:pPr>
      <w:r>
        <w:rPr>
          <w:sz w:val="20"/>
          <w:lang w:val="pt-BR"/>
        </w:rPr>
        <w:br/>
      </w:r>
      <w:r>
        <w:rPr>
          <w:sz w:val="20"/>
          <w:lang w:val="pt-BR"/>
        </w:rPr>
        <w:br/>
      </w:r>
      <w:r>
        <w:rPr>
          <w:sz w:val="20"/>
          <w:lang w:val="pt-BR"/>
        </w:rPr>
        <w:br/>
      </w:r>
      <w:r>
        <w:rPr>
          <w:sz w:val="20"/>
          <w:lang w:val="pt-BR"/>
        </w:rPr>
        <w:br/>
      </w:r>
      <w:r>
        <w:rPr>
          <w:sz w:val="20"/>
          <w:lang w:val="pt-BR"/>
        </w:rPr>
        <w:br/>
      </w:r>
      <w:r>
        <w:rPr>
          <w:sz w:val="20"/>
          <w:lang w:val="pt-BR"/>
        </w:rPr>
        <w:br/>
      </w:r>
      <w:r>
        <w:rPr>
          <w:sz w:val="20"/>
          <w:lang w:val="pt-BR"/>
        </w:rPr>
        <w:br/>
      </w:r>
      <w:r>
        <w:rPr>
          <w:sz w:val="20"/>
          <w:lang w:val="pt-BR"/>
        </w:rPr>
        <w:br/>
      </w:r>
      <w:r>
        <w:rPr>
          <w:sz w:val="20"/>
          <w:lang w:val="pt-BR"/>
        </w:rPr>
        <w:lastRenderedPageBreak/>
        <w:br/>
      </w:r>
      <w:r w:rsidR="00ED7533" w:rsidRPr="00F73E03">
        <w:rPr>
          <w:sz w:val="20"/>
          <w:lang w:val="pt-BR"/>
        </w:rPr>
        <w:t>Recursos Básicos do Exchange Online</w:t>
      </w:r>
    </w:p>
    <w:p w:rsidR="00ED7533" w:rsidRPr="00F73E03" w:rsidRDefault="00ED7533" w:rsidP="000332E6">
      <w:pPr>
        <w:pStyle w:val="BodyText"/>
        <w:rPr>
          <w:iCs/>
          <w:sz w:val="16"/>
        </w:rPr>
      </w:pPr>
      <w:r w:rsidRPr="00F73E03">
        <w:rPr>
          <w:sz w:val="16"/>
          <w:szCs w:val="16"/>
          <w:lang w:val="pt-BR"/>
        </w:rPr>
        <w:t xml:space="preserve">A Microsoft oferece uma solução abrangente de mensagens com uma simples taxa mensal por usuário. </w:t>
      </w:r>
      <w:r w:rsidRPr="00F73E03">
        <w:rPr>
          <w:sz w:val="16"/>
          <w:szCs w:val="16"/>
        </w:rPr>
        <w:t>Os principais recursos são:</w:t>
      </w:r>
    </w:p>
    <w:p w:rsidR="00ED7533" w:rsidRPr="00F73E03" w:rsidRDefault="00ED7533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Caixa de correio Standard de </w:t>
      </w:r>
      <w:proofErr w:type="gramStart"/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5</w:t>
      </w:r>
      <w:proofErr w:type="gramEnd"/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 gigabytes (GB) e opcional de 25 GB para se adequar ao perfil de sua organização.</w:t>
      </w:r>
    </w:p>
    <w:p w:rsidR="00F26368" w:rsidRPr="00F73E03" w:rsidRDefault="00F26368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Caixa de correio </w:t>
      </w:r>
      <w:r w:rsidRPr="00F73E03">
        <w:rPr>
          <w:rFonts w:ascii="Segoe UI" w:hAnsi="Segoe UI" w:cs="Segoe UI"/>
          <w:i/>
          <w:iCs w:val="0"/>
          <w:color w:val="7A7271"/>
          <w:sz w:val="16"/>
          <w:szCs w:val="16"/>
          <w:lang w:val="pt-BR"/>
        </w:rPr>
        <w:t xml:space="preserve">Deskless Worker </w:t>
      </w: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com 500 megabytes (MB) para funcionários que necessitam de menos recursos de mensagem.</w:t>
      </w:r>
    </w:p>
    <w:p w:rsidR="00ED7533" w:rsidRPr="00F73E03" w:rsidRDefault="00FE03AD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Capacidades </w:t>
      </w:r>
      <w:proofErr w:type="gramStart"/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premium</w:t>
      </w:r>
      <w:proofErr w:type="gramEnd"/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 integradas de gerenciamento para continuidade de serviço.</w:t>
      </w:r>
    </w:p>
    <w:p w:rsidR="00ED7533" w:rsidRPr="00F73E03" w:rsidRDefault="00FE03AD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Capacidade multinível de higiene de mensagens, incluindo recursos antispam e antivírus.</w:t>
      </w:r>
    </w:p>
    <w:p w:rsidR="00ED7533" w:rsidRPr="00F73E03" w:rsidRDefault="00ED7533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textAlignment w:val="center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O </w:t>
      </w:r>
      <w:r w:rsid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diretório</w:t>
      </w: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 tem relação de confiança com o seu Active Directory, fornece</w:t>
      </w:r>
      <w:r w:rsid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ndo</w:t>
      </w: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 capacidade de logon único.</w:t>
      </w:r>
    </w:p>
    <w:p w:rsidR="00ED7533" w:rsidRPr="00F73E03" w:rsidRDefault="00ED7533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textAlignment w:val="center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O acesso seguro aos e-mails a partir de sua rede corporativa ou da Internet, em qualquer lugar no mundo, através de uma variedade de dispositivos e software.</w:t>
      </w:r>
    </w:p>
    <w:p w:rsidR="00E31B8A" w:rsidRPr="00F73E03" w:rsidRDefault="00E31B8A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textAlignment w:val="center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As ferramentas de gerenciamento de caixa de mensagens permitem à equipe de suporte lidar com tarefas comuns. </w:t>
      </w:r>
    </w:p>
    <w:p w:rsidR="00ED7533" w:rsidRPr="00F73E03" w:rsidRDefault="00ED7533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A central de serviços do Exchange Onlin</w:t>
      </w:r>
      <w:r w:rsid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e está</w:t>
      </w: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 </w:t>
      </w:r>
      <w:proofErr w:type="gramStart"/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disponível 24</w:t>
      </w:r>
      <w:proofErr w:type="gramEnd"/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 horas por dia, sete dias por semana para escalonamentos.</w:t>
      </w:r>
    </w:p>
    <w:p w:rsidR="00ED7533" w:rsidRPr="00F73E03" w:rsidRDefault="00ED7533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Suporte a auditoria e autoavaliação para Sarbanes-Oxley e SAS 70 Type II.</w:t>
      </w:r>
    </w:p>
    <w:p w:rsidR="00ED7533" w:rsidRPr="00F73E03" w:rsidRDefault="002C205D" w:rsidP="00F94284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Os mais recentes recursos do Exchange Server já estão disponíveis para a sua empresa. </w:t>
      </w:r>
    </w:p>
    <w:p w:rsidR="00ED7533" w:rsidRPr="00F73E03" w:rsidRDefault="00ED7533" w:rsidP="000332E6">
      <w:pPr>
        <w:pStyle w:val="Ttulo2"/>
        <w:rPr>
          <w:iCs/>
          <w:sz w:val="20"/>
        </w:rPr>
      </w:pPr>
      <w:r w:rsidRPr="00F73E03">
        <w:rPr>
          <w:sz w:val="20"/>
        </w:rPr>
        <w:t>Recursos Opcionais</w:t>
      </w:r>
    </w:p>
    <w:p w:rsidR="00ED7533" w:rsidRPr="00F73E03" w:rsidRDefault="009C2E56" w:rsidP="00BF7169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textAlignment w:val="center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0678B6"/>
          <w:sz w:val="16"/>
          <w:szCs w:val="16"/>
          <w:lang w:val="pt-BR"/>
        </w:rPr>
        <w:t>Serviço de arquivamento:</w:t>
      </w: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 Suporte para ajudar a satisfazer requisitos regulamentares de retenção e gerenciamento de email pessoal.</w:t>
      </w:r>
    </w:p>
    <w:p w:rsidR="00ED7533" w:rsidRPr="00F73E03" w:rsidRDefault="009C2E56" w:rsidP="00BF7169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textAlignment w:val="center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0678B6"/>
          <w:sz w:val="16"/>
          <w:szCs w:val="16"/>
          <w:lang w:val="pt-BR"/>
        </w:rPr>
        <w:t xml:space="preserve">Serviço a </w:t>
      </w:r>
      <w:proofErr w:type="gramStart"/>
      <w:r w:rsidRPr="00F73E03">
        <w:rPr>
          <w:rFonts w:ascii="Segoe UI" w:hAnsi="Segoe UI" w:cs="Segoe UI"/>
          <w:iCs w:val="0"/>
          <w:color w:val="0678B6"/>
          <w:sz w:val="16"/>
          <w:szCs w:val="16"/>
          <w:lang w:val="pt-BR"/>
        </w:rPr>
        <w:t>BlackBerry</w:t>
      </w:r>
      <w:proofErr w:type="gramEnd"/>
      <w:r w:rsidRPr="00F73E03">
        <w:rPr>
          <w:rFonts w:ascii="Segoe UI" w:hAnsi="Segoe UI" w:cs="Segoe UI"/>
          <w:iCs w:val="0"/>
          <w:color w:val="0678B6"/>
          <w:sz w:val="16"/>
          <w:szCs w:val="16"/>
          <w:lang w:val="pt-BR"/>
        </w:rPr>
        <w:t>:</w:t>
      </w: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 Hospedagem disponível para BlackBerry Enterprise Server para sincronização de e-mail</w:t>
      </w:r>
      <w:r w:rsid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s</w:t>
      </w: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, calendári</w:t>
      </w:r>
      <w:r w:rsid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os</w:t>
      </w: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>, contatos e tarefas com dispositivos BlackBerry.</w:t>
      </w:r>
    </w:p>
    <w:p w:rsidR="00E31B8A" w:rsidRPr="00F73E03" w:rsidRDefault="009C2E56" w:rsidP="00BF7169">
      <w:pPr>
        <w:pStyle w:val="PargrafodaLista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tLeast"/>
        <w:contextualSpacing w:val="0"/>
        <w:textAlignment w:val="center"/>
        <w:rPr>
          <w:rFonts w:ascii="Segoe UI" w:eastAsia="Times New Roman" w:hAnsi="Segoe UI" w:cs="Segoe UI"/>
          <w:iCs w:val="0"/>
          <w:color w:val="7A7271"/>
          <w:sz w:val="16"/>
          <w:szCs w:val="17"/>
          <w:lang w:val="pt-BR"/>
        </w:rPr>
      </w:pPr>
      <w:r w:rsidRPr="00F73E03">
        <w:rPr>
          <w:rFonts w:ascii="Segoe UI" w:hAnsi="Segoe UI" w:cs="Segoe UI"/>
          <w:iCs w:val="0"/>
          <w:color w:val="0678B6"/>
          <w:sz w:val="16"/>
          <w:szCs w:val="16"/>
          <w:lang w:val="pt-BR"/>
        </w:rPr>
        <w:t>Serviço de migração de dados:</w:t>
      </w:r>
      <w:r w:rsidRPr="00F73E03">
        <w:rPr>
          <w:rFonts w:ascii="Segoe UI" w:hAnsi="Segoe UI" w:cs="Segoe UI"/>
          <w:iCs w:val="0"/>
          <w:color w:val="7A7271"/>
          <w:sz w:val="16"/>
          <w:szCs w:val="16"/>
          <w:lang w:val="pt-BR"/>
        </w:rPr>
        <w:t xml:space="preserve"> Transferência automática de seus dados existentes de email para o ambiente do Exchange Online.</w:t>
      </w:r>
    </w:p>
    <w:p w:rsidR="00ED7533" w:rsidRPr="00FE03AD" w:rsidRDefault="00ED7533" w:rsidP="00ED7533">
      <w:pPr>
        <w:suppressAutoHyphens/>
        <w:spacing w:line="192" w:lineRule="auto"/>
        <w:rPr>
          <w:rFonts w:ascii="Arial" w:eastAsia="Times New Roman" w:hAnsi="Arial" w:cs="Times New Roman"/>
          <w:iCs w:val="0"/>
          <w:sz w:val="20"/>
          <w:lang w:val="pt-BR"/>
        </w:rPr>
      </w:pPr>
    </w:p>
    <w:p w:rsidR="00341677" w:rsidRPr="00FE03AD" w:rsidRDefault="00341677" w:rsidP="00ED7533">
      <w:pPr>
        <w:suppressAutoHyphens/>
        <w:spacing w:line="192" w:lineRule="auto"/>
        <w:rPr>
          <w:rFonts w:ascii="Arial" w:eastAsia="Times New Roman" w:hAnsi="Arial" w:cs="Times New Roman"/>
          <w:iCs w:val="0"/>
          <w:sz w:val="20"/>
          <w:lang w:val="pt-BR"/>
        </w:rPr>
      </w:pPr>
    </w:p>
    <w:p w:rsidR="00341677" w:rsidRPr="00FE03AD" w:rsidRDefault="00341677" w:rsidP="00ED7533">
      <w:pPr>
        <w:suppressAutoHyphens/>
        <w:spacing w:line="192" w:lineRule="auto"/>
        <w:rPr>
          <w:rFonts w:ascii="Arial" w:eastAsia="Times New Roman" w:hAnsi="Arial" w:cs="Times New Roman"/>
          <w:iCs w:val="0"/>
          <w:sz w:val="20"/>
          <w:lang w:val="pt-BR"/>
        </w:rPr>
      </w:pPr>
    </w:p>
    <w:p w:rsidR="00341677" w:rsidRPr="00FE03AD" w:rsidRDefault="00341677" w:rsidP="00ED7533">
      <w:pPr>
        <w:suppressAutoHyphens/>
        <w:spacing w:line="192" w:lineRule="auto"/>
        <w:rPr>
          <w:rFonts w:ascii="Arial" w:eastAsia="Times New Roman" w:hAnsi="Arial" w:cs="Times New Roman"/>
          <w:iCs w:val="0"/>
          <w:sz w:val="20"/>
          <w:lang w:val="pt-BR"/>
        </w:rPr>
      </w:pPr>
    </w:p>
    <w:p w:rsidR="00341677" w:rsidRPr="00FE03AD" w:rsidRDefault="00341677" w:rsidP="00ED7533">
      <w:pPr>
        <w:suppressAutoHyphens/>
        <w:spacing w:line="192" w:lineRule="auto"/>
        <w:rPr>
          <w:rFonts w:ascii="Arial" w:eastAsia="Times New Roman" w:hAnsi="Arial" w:cs="Times New Roman"/>
          <w:iCs w:val="0"/>
          <w:sz w:val="20"/>
          <w:lang w:val="pt-BR"/>
        </w:rPr>
        <w:sectPr w:rsidR="00341677" w:rsidRPr="00FE03AD" w:rsidSect="00F9428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2016" w:right="1440" w:bottom="1440" w:left="1440" w:header="720" w:footer="720" w:gutter="0"/>
          <w:cols w:num="2" w:space="480"/>
          <w:titlePg/>
          <w:docGrid w:linePitch="272"/>
        </w:sectPr>
      </w:pPr>
    </w:p>
    <w:p w:rsidR="00ED7533" w:rsidRPr="00FE03AD" w:rsidRDefault="00ED7533" w:rsidP="00ED7533">
      <w:pPr>
        <w:suppressAutoHyphens/>
        <w:spacing w:line="192" w:lineRule="auto"/>
        <w:rPr>
          <w:rFonts w:ascii="Arial" w:eastAsia="Times New Roman" w:hAnsi="Arial" w:cs="Times New Roman"/>
          <w:iCs w:val="0"/>
          <w:sz w:val="20"/>
          <w:lang w:val="pt-BR"/>
        </w:rPr>
      </w:pPr>
      <w:r w:rsidRPr="00FE03AD">
        <w:rPr>
          <w:rFonts w:ascii="Arial" w:eastAsia="Times New Roman" w:hAnsi="Arial" w:cs="Times New Roman"/>
          <w:iCs w:val="0"/>
          <w:sz w:val="20"/>
          <w:lang w:val="pt-BR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7016"/>
      </w:tblGrid>
      <w:tr w:rsidR="00912F63" w:rsidRPr="00F73E03" w:rsidTr="0001575D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lastRenderedPageBreak/>
              <w:t>Recursos Básicos</w:t>
            </w:r>
          </w:p>
        </w:tc>
        <w:tc>
          <w:tcPr>
            <w:tcW w:w="0" w:type="auto"/>
            <w:tcBorders>
              <w:top w:val="single" w:sz="4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>Hospedagem dedicada</w:t>
            </w:r>
          </w:p>
        </w:tc>
      </w:tr>
      <w:tr w:rsidR="00912F63" w:rsidRPr="00F73E03" w:rsidTr="0001575D">
        <w:trPr>
          <w:trHeight w:val="253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Proteção antivírus e filtro de spam</w:t>
            </w:r>
          </w:p>
        </w:tc>
      </w:tr>
      <w:tr w:rsidR="00912F63" w:rsidRPr="00F73E03" w:rsidTr="0001575D">
        <w:trPr>
          <w:trHeight w:val="60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Logon único através da sincronização de diretórios</w:t>
            </w:r>
          </w:p>
        </w:tc>
      </w:tr>
      <w:tr w:rsidR="00912F63" w:rsidRPr="00F73E03" w:rsidTr="0001575D">
        <w:trPr>
          <w:trHeight w:val="60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Deskless Worker pa</w:t>
            </w:r>
            <w:bookmarkStart w:id="0" w:name="_GoBack"/>
            <w:bookmarkEnd w:id="0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ra funcionários que não demandam muitos recursos de mensagens</w:t>
            </w:r>
          </w:p>
        </w:tc>
      </w:tr>
      <w:tr w:rsidR="00912F63" w:rsidRPr="00F73E03" w:rsidTr="0001575D">
        <w:trPr>
          <w:trHeight w:val="60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Agendamento de sala de conferência</w:t>
            </w:r>
          </w:p>
        </w:tc>
      </w:tr>
      <w:tr w:rsidR="00912F63" w:rsidRPr="00F73E03" w:rsidTr="0001575D">
        <w:trPr>
          <w:trHeight w:val="60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Administração de caixa de correio (adicionar/alterar/excluir usuários)</w:t>
            </w:r>
          </w:p>
        </w:tc>
      </w:tr>
      <w:tr w:rsidR="00912F63" w:rsidRPr="00F73E03" w:rsidTr="0001575D">
        <w:trPr>
          <w:trHeight w:val="60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Suporte a criptografia digital e email seguro (S/MIME)</w:t>
            </w:r>
          </w:p>
        </w:tc>
      </w:tr>
      <w:tr w:rsidR="00912F63" w:rsidRPr="00F73E03" w:rsidTr="0001575D">
        <w:trPr>
          <w:trHeight w:val="60"/>
        </w:trPr>
        <w:tc>
          <w:tcPr>
            <w:tcW w:w="0" w:type="auto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 w:rsidP="00F52314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Serviço de atendimento para escalonamento a partir de call </w:t>
            </w:r>
            <w:proofErr w:type="gramStart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center</w:t>
            </w:r>
            <w:proofErr w:type="gramEnd"/>
          </w:p>
        </w:tc>
      </w:tr>
      <w:tr w:rsidR="00912F63" w:rsidRPr="00F73E03" w:rsidTr="0001575D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left w:w="86" w:type="dxa"/>
            </w:tcMar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sz w:val="14"/>
              </w:rPr>
            </w:pPr>
            <w:r w:rsidRPr="00F73E03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Recursos Opcionais</w:t>
            </w: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>Suporte a pasta pública</w:t>
            </w:r>
          </w:p>
        </w:tc>
      </w:tr>
      <w:tr w:rsidR="00912F63" w:rsidRPr="00F73E03" w:rsidTr="0001575D">
        <w:trPr>
          <w:trHeight w:val="60"/>
        </w:trPr>
        <w:tc>
          <w:tcPr>
            <w:tcW w:w="0" w:type="auto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 w:rsidP="0005457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Fax de saída da estação de trabalho via Microsoft Office Outlook®; integração com soluções de fax já </w:t>
            </w:r>
            <w:proofErr w:type="gramStart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existentes</w:t>
            </w:r>
            <w:proofErr w:type="gramEnd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 </w:t>
            </w:r>
          </w:p>
        </w:tc>
      </w:tr>
      <w:tr w:rsidR="00912F63" w:rsidRPr="00F73E03" w:rsidTr="0001575D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left w:w="86" w:type="dxa"/>
            </w:tcMar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</w:rPr>
            </w:pPr>
            <w:r w:rsidRPr="00F73E03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Parâmetros para Standard</w:t>
            </w: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Caixas de correio de </w:t>
            </w:r>
            <w:proofErr w:type="gramStart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5</w:t>
            </w:r>
            <w:proofErr w:type="gramEnd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e 25 GB (opcionais) para Standard e caixas de correio de 500 MB Deskless Worker</w:t>
            </w:r>
          </w:p>
        </w:tc>
      </w:tr>
      <w:tr w:rsidR="00912F63" w:rsidRPr="00F73E03" w:rsidTr="0001575D">
        <w:trPr>
          <w:trHeight w:val="277"/>
        </w:trPr>
        <w:tc>
          <w:tcPr>
            <w:tcW w:w="0" w:type="auto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vAlign w:val="center"/>
          </w:tcPr>
          <w:p w:rsidR="00912F63" w:rsidRPr="00F73E03" w:rsidRDefault="00912F6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F63" w:rsidRPr="00F73E03" w:rsidRDefault="00912F6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Limite de tamanho de anexo de 50 MB</w:t>
            </w:r>
          </w:p>
        </w:tc>
      </w:tr>
      <w:tr w:rsidR="00ED7533" w:rsidRPr="00F73E03" w:rsidTr="0001575D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Suporte ao Cliente</w:t>
            </w: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F8465E" w:rsidP="00786472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>Office Outlook 2007 e 2003, e o Office Entourage</w:t>
            </w: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2"/>
              </w:rPr>
              <w:t>®</w:t>
            </w: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 xml:space="preserve">  2008 Web Services Edition, incluindo acesso a partir da Internet</w:t>
            </w:r>
          </w:p>
        </w:tc>
      </w:tr>
      <w:tr w:rsidR="00ED7533" w:rsidRPr="00F73E03" w:rsidTr="0001575D">
        <w:trPr>
          <w:trHeight w:val="60"/>
        </w:trPr>
        <w:tc>
          <w:tcPr>
            <w:tcW w:w="0" w:type="auto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HTTP, MAPI e rede interna do cliente IMAP4 e </w:t>
            </w:r>
            <w:proofErr w:type="gramStart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POP3</w:t>
            </w:r>
            <w:proofErr w:type="gramEnd"/>
          </w:p>
        </w:tc>
      </w:tr>
      <w:tr w:rsidR="00ED7533" w:rsidRPr="00F73E03" w:rsidTr="0001575D">
        <w:trPr>
          <w:trHeight w:val="60"/>
        </w:trPr>
        <w:tc>
          <w:tcPr>
            <w:tcW w:w="0" w:type="auto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AF5437" w:rsidP="00A910AA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>Office Outlook Web App (OWA)</w:t>
            </w:r>
          </w:p>
        </w:tc>
      </w:tr>
      <w:tr w:rsidR="00ED7533" w:rsidRPr="00F73E03" w:rsidTr="0001575D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Mobilidade</w:t>
            </w: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Tecnologia Microsoft Exchange </w:t>
            </w:r>
            <w:proofErr w:type="gramStart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ActiveSync</w:t>
            </w:r>
            <w:proofErr w:type="gramEnd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2"/>
                <w:lang w:val="pt-BR"/>
              </w:rPr>
              <w:t>®</w:t>
            </w: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para dispositivos Windows Mobile</w:t>
            </w: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2"/>
                <w:lang w:val="pt-BR"/>
              </w:rPr>
              <w:t>®</w:t>
            </w:r>
          </w:p>
        </w:tc>
      </w:tr>
      <w:tr w:rsidR="00ED7533" w:rsidRPr="00F73E03" w:rsidTr="0001575D">
        <w:trPr>
          <w:trHeight w:val="60"/>
        </w:trPr>
        <w:tc>
          <w:tcPr>
            <w:tcW w:w="0" w:type="auto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>
            <w:pPr>
              <w:autoSpaceDE w:val="0"/>
              <w:autoSpaceDN w:val="0"/>
              <w:adjustRightInd w:val="0"/>
              <w:spacing w:after="2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Tecnologia Direct Push — empurra novos e-mails, calendário, tarefas e contatos para o </w:t>
            </w:r>
            <w:proofErr w:type="gramStart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dispositivo</w:t>
            </w:r>
            <w:proofErr w:type="gramEnd"/>
          </w:p>
        </w:tc>
      </w:tr>
      <w:tr w:rsidR="00ED7533" w:rsidRPr="00F73E03" w:rsidTr="0001575D">
        <w:trPr>
          <w:trHeight w:val="60"/>
        </w:trPr>
        <w:tc>
          <w:tcPr>
            <w:tcW w:w="0" w:type="auto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 w:rsidP="000B1994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Limpeza remota de dispositivo - os administradores podem apagar informações confidenciais de dispositivos perdidos ou roubados.</w:t>
            </w:r>
          </w:p>
        </w:tc>
      </w:tr>
      <w:tr w:rsidR="00ED7533" w:rsidRPr="00F73E03" w:rsidTr="0001575D">
        <w:trPr>
          <w:trHeight w:val="60"/>
        </w:trPr>
        <w:tc>
          <w:tcPr>
            <w:tcW w:w="0" w:type="auto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 w:rsidP="000B1994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Provisionamento de diretivas - os administradores podem estabelecer diretivas para dispositivos</w:t>
            </w:r>
          </w:p>
        </w:tc>
      </w:tr>
      <w:tr w:rsidR="00ED7533" w:rsidRPr="00F73E03" w:rsidTr="0001575D">
        <w:trPr>
          <w:trHeight w:val="60"/>
        </w:trPr>
        <w:tc>
          <w:tcPr>
            <w:tcW w:w="0" w:type="auto"/>
            <w:vMerge/>
            <w:tcBorders>
              <w:top w:val="single" w:sz="4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rPr>
                <w:rFonts w:ascii="Segoe UI" w:eastAsia="Times New Roman" w:hAnsi="Segoe UI" w:cs="Segoe UI"/>
                <w:iCs w:val="0"/>
                <w:sz w:val="14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Suporte opcional de conectividade para </w:t>
            </w:r>
            <w:proofErr w:type="gramStart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BlackBerry</w:t>
            </w:r>
            <w:proofErr w:type="gramEnd"/>
          </w:p>
        </w:tc>
      </w:tr>
      <w:tr w:rsidR="00B44B13" w:rsidRPr="00F73E03" w:rsidTr="0001575D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472" w:rsidRPr="00F73E03" w:rsidRDefault="00786472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  <w:p w:rsidR="00786472" w:rsidRPr="00F73E03" w:rsidRDefault="00786472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  <w:p w:rsidR="00B44B13" w:rsidRPr="00F73E03" w:rsidRDefault="00B44B1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C39E34"/>
                <w:sz w:val="14"/>
                <w:szCs w:val="16"/>
                <w:lang w:val="pt-BR"/>
              </w:rPr>
              <w:t>Serviço de Proteção de Dados</w:t>
            </w: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B13" w:rsidRPr="00F73E03" w:rsidRDefault="000B1994" w:rsidP="00786472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Replicação contínua de dados da caixa de correio em múltiplos servidores para capacidade de recuperação de dados</w:t>
            </w:r>
          </w:p>
        </w:tc>
      </w:tr>
      <w:tr w:rsidR="00B44B13" w:rsidRPr="00F73E03" w:rsidTr="0001575D">
        <w:trPr>
          <w:trHeight w:val="60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B13" w:rsidRPr="00F73E03" w:rsidRDefault="00B44B1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B13" w:rsidRPr="00F73E03" w:rsidRDefault="0005457D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Retenção por 30 dias de itens excluídos e caixa de correio excluída</w:t>
            </w:r>
          </w:p>
        </w:tc>
      </w:tr>
      <w:tr w:rsidR="00B44B13" w:rsidRPr="00F73E03" w:rsidTr="0001575D">
        <w:trPr>
          <w:trHeight w:val="60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B13" w:rsidRPr="00F73E03" w:rsidRDefault="00B44B1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B13" w:rsidRPr="00F73E03" w:rsidRDefault="00B44B1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Gerenciamento de continuidade de serviço </w:t>
            </w:r>
            <w:proofErr w:type="gramStart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premium</w:t>
            </w:r>
            <w:proofErr w:type="gramEnd"/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incluído</w:t>
            </w:r>
          </w:p>
        </w:tc>
      </w:tr>
      <w:tr w:rsidR="00B44B13" w:rsidRPr="00F73E03" w:rsidTr="0001575D">
        <w:trPr>
          <w:trHeight w:val="145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B13" w:rsidRPr="00F73E03" w:rsidRDefault="00B44B1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right w:val="single" w:sz="4" w:space="0" w:color="0577B4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B13" w:rsidRPr="00F73E03" w:rsidRDefault="00B44B1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Retenção legal opcional e recursos de arquivamento para conformidade</w:t>
            </w:r>
          </w:p>
        </w:tc>
      </w:tr>
      <w:tr w:rsidR="00ED7533" w:rsidRPr="00F73E03" w:rsidTr="0001575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01575D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  <w:r w:rsidRPr="00F73E03">
              <w:rPr>
                <w:rFonts w:ascii="Segoe UI" w:eastAsia="Times New Roman" w:hAnsi="Segoe UI" w:cs="Segoe UI"/>
                <w:iCs w:val="0"/>
                <w:noProof/>
                <w:color w:val="C39E34"/>
                <w:sz w:val="14"/>
                <w:szCs w:val="16"/>
                <w:lang w:val="pt-BR" w:eastAsia="pt-BR"/>
              </w:rPr>
              <w:drawing>
                <wp:anchor distT="0" distB="0" distL="114300" distR="114300" simplePos="0" relativeHeight="251665408" behindDoc="1" locked="0" layoutInCell="1" allowOverlap="1" wp14:anchorId="3963EC38" wp14:editId="4969FFBA">
                  <wp:simplePos x="0" y="0"/>
                  <wp:positionH relativeFrom="column">
                    <wp:posOffset>-1148080</wp:posOffset>
                  </wp:positionH>
                  <wp:positionV relativeFrom="paragraph">
                    <wp:posOffset>306705</wp:posOffset>
                  </wp:positionV>
                  <wp:extent cx="6691630" cy="2367280"/>
                  <wp:effectExtent l="19050" t="0" r="0" b="0"/>
                  <wp:wrapNone/>
                  <wp:docPr id="9" name="Picture 2" descr="MSFT1741-Doc-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FT1741-Doc-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630" cy="236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3E03">
              <w:rPr>
                <w:rFonts w:ascii="Segoe UI" w:hAnsi="Segoe UI" w:cs="Segoe UI"/>
                <w:iCs w:val="0"/>
                <w:color w:val="C39E34"/>
                <w:sz w:val="14"/>
                <w:szCs w:val="16"/>
              </w:rPr>
              <w:t>Auditorias e Segurança</w:t>
            </w: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Suporte a auditoria externa e autoavaliação para Sarbanes-Oxley e SAS 70 Type II.</w:t>
            </w:r>
          </w:p>
        </w:tc>
      </w:tr>
      <w:tr w:rsidR="00ED7533" w:rsidRPr="00F73E03" w:rsidTr="0001575D">
        <w:trPr>
          <w:trHeight w:val="20"/>
        </w:trPr>
        <w:tc>
          <w:tcPr>
            <w:tcW w:w="0" w:type="auto"/>
            <w:vMerge/>
            <w:tcBorders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>Avaliações de segurança</w:t>
            </w:r>
          </w:p>
        </w:tc>
      </w:tr>
      <w:tr w:rsidR="00ED7533" w:rsidRPr="00F73E03" w:rsidTr="0001575D">
        <w:trPr>
          <w:trHeight w:val="20"/>
        </w:trPr>
        <w:tc>
          <w:tcPr>
            <w:tcW w:w="0" w:type="auto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>Detecção e monitoramento de invasões</w:t>
            </w:r>
          </w:p>
        </w:tc>
      </w:tr>
      <w:tr w:rsidR="00ED7533" w:rsidRPr="00F73E03" w:rsidTr="0001575D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577B4"/>
              <w:left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  <w:lang w:val="pt-BR"/>
              </w:rPr>
            </w:pPr>
            <w:r w:rsidRPr="00F73E03">
              <w:rPr>
                <w:rFonts w:ascii="Segoe UI" w:hAnsi="Segoe UI" w:cs="Segoe UI"/>
                <w:iCs w:val="0"/>
                <w:color w:val="C39E34"/>
                <w:sz w:val="14"/>
                <w:szCs w:val="16"/>
                <w:lang w:val="pt-BR"/>
              </w:rPr>
              <w:t>Acordos de Nível de Serviço</w:t>
            </w: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6" w:space="0" w:color="0577B4"/>
              <w:right w:val="single" w:sz="4" w:space="0" w:color="0577B4"/>
            </w:tcBorders>
            <w:shd w:val="solid" w:color="E2F2F6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 w:rsidP="006A59BA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>Tempo de</w:t>
            </w: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  <w:lang w:val="pt-BR"/>
              </w:rPr>
              <w:t xml:space="preserve"> disponibilidade</w:t>
            </w: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 xml:space="preserve"> de 99,9% </w:t>
            </w:r>
          </w:p>
        </w:tc>
      </w:tr>
      <w:tr w:rsidR="00ED7533" w:rsidRPr="00F73E03" w:rsidTr="0001575D">
        <w:trPr>
          <w:trHeight w:val="20"/>
        </w:trPr>
        <w:tc>
          <w:tcPr>
            <w:tcW w:w="0" w:type="auto"/>
            <w:vMerge/>
            <w:tcBorders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7533" w:rsidRPr="00F73E03" w:rsidRDefault="00ED7533" w:rsidP="00786472">
            <w:pPr>
              <w:autoSpaceDE w:val="0"/>
              <w:autoSpaceDN w:val="0"/>
              <w:adjustRightInd w:val="0"/>
              <w:spacing w:line="216" w:lineRule="auto"/>
              <w:textAlignment w:val="center"/>
              <w:rPr>
                <w:rFonts w:ascii="Segoe UI" w:eastAsia="Times New Roman" w:hAnsi="Segoe UI" w:cs="Segoe UI"/>
                <w:iCs w:val="0"/>
                <w:color w:val="C39E34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577B4"/>
              <w:left w:val="single" w:sz="4" w:space="0" w:color="0577B4"/>
              <w:bottom w:val="single" w:sz="4" w:space="0" w:color="0577B4"/>
              <w:right w:val="single" w:sz="4" w:space="0" w:color="0577B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EBC" w:rsidRPr="00F73E03" w:rsidRDefault="00ED7533">
            <w:pPr>
              <w:autoSpaceDE w:val="0"/>
              <w:autoSpaceDN w:val="0"/>
              <w:adjustRightInd w:val="0"/>
              <w:textAlignment w:val="center"/>
              <w:rPr>
                <w:rFonts w:ascii="Segoe UI" w:eastAsia="Times New Roman" w:hAnsi="Segoe UI" w:cs="Segoe UI"/>
                <w:iCs w:val="0"/>
                <w:color w:val="524A48"/>
                <w:sz w:val="14"/>
                <w:szCs w:val="16"/>
              </w:rPr>
            </w:pPr>
            <w:r w:rsidRPr="00F73E03">
              <w:rPr>
                <w:rFonts w:ascii="Segoe UI" w:hAnsi="Segoe UI" w:cs="Segoe UI"/>
                <w:iCs w:val="0"/>
                <w:color w:val="524A48"/>
                <w:sz w:val="14"/>
                <w:szCs w:val="16"/>
              </w:rPr>
              <w:t>Reportado e avaliado mensalmente</w:t>
            </w:r>
          </w:p>
        </w:tc>
      </w:tr>
    </w:tbl>
    <w:p w:rsidR="00ED7533" w:rsidRPr="00C57FA1" w:rsidRDefault="00AD3563" w:rsidP="00ED7533">
      <w:pPr>
        <w:suppressAutoHyphens/>
        <w:spacing w:after="120" w:line="280" w:lineRule="exact"/>
        <w:rPr>
          <w:rFonts w:ascii="Segoe UI" w:hAnsi="Segoe UI" w:cs="Segoe UI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7.8pt;margin-top:68.45pt;width:365.55pt;height:29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" filled="f" stroked="f">
            <v:fill opacity="0"/>
            <v:textbox>
              <w:txbxContent>
                <w:p w:rsidR="00912F63" w:rsidRPr="00FE03AD" w:rsidRDefault="00912F63" w:rsidP="00912F63">
                  <w:pPr>
                    <w:pStyle w:val="copyright"/>
                    <w:spacing w:line="240" w:lineRule="auto"/>
                    <w:rPr>
                      <w:lang w:val="pt-BR"/>
                    </w:rPr>
                  </w:pPr>
                  <w:r w:rsidRPr="00FE03AD">
                    <w:rPr>
                      <w:lang w:val="pt-BR"/>
                    </w:rPr>
                    <w:t xml:space="preserve">© </w:t>
                  </w:r>
                  <w:proofErr w:type="gramStart"/>
                  <w:r w:rsidRPr="00FE03AD">
                    <w:rPr>
                      <w:lang w:val="pt-BR"/>
                    </w:rPr>
                    <w:t xml:space="preserve">2010 </w:t>
                  </w:r>
                  <w:r w:rsidRPr="00FE03AD">
                    <w:rPr>
                      <w:spacing w:val="14"/>
                      <w:lang w:val="pt-BR"/>
                    </w:rPr>
                    <w:t>MICROSOFT</w:t>
                  </w:r>
                  <w:proofErr w:type="gramEnd"/>
                  <w:r w:rsidRPr="00FE03AD">
                    <w:rPr>
                      <w:spacing w:val="14"/>
                      <w:lang w:val="pt-BR"/>
                    </w:rPr>
                    <w:t xml:space="preserve"> CORPORATION</w:t>
                  </w:r>
                  <w:r w:rsidRPr="00FE03AD">
                    <w:rPr>
                      <w:lang w:val="pt-BR"/>
                    </w:rPr>
                    <w:t>. Todos os direitos reservados.</w:t>
                  </w:r>
                  <w:r w:rsidRPr="00FE03AD">
                    <w:rPr>
                      <w:lang w:val="pt-BR"/>
                    </w:rPr>
                    <w:br/>
                    <w:t xml:space="preserve">Microsoft, Active Directory, </w:t>
                  </w:r>
                  <w:proofErr w:type="gramStart"/>
                  <w:r w:rsidRPr="00FE03AD">
                    <w:rPr>
                      <w:lang w:val="pt-BR"/>
                    </w:rPr>
                    <w:t>ActiveSync</w:t>
                  </w:r>
                  <w:proofErr w:type="gramEnd"/>
                  <w:r w:rsidRPr="00FE03AD">
                    <w:rPr>
                      <w:lang w:val="pt-BR"/>
                    </w:rPr>
                    <w:t xml:space="preserve">, Entourage, Outlook e Windows Mobile são marcas </w:t>
                  </w:r>
                  <w:r w:rsidR="00F73E03">
                    <w:rPr>
                      <w:lang w:val="pt-BR"/>
                    </w:rPr>
                    <w:br/>
                  </w:r>
                  <w:r w:rsidRPr="00FE03AD">
                    <w:rPr>
                      <w:lang w:val="pt-BR"/>
                    </w:rPr>
                    <w:t>registradas do grupo Microsoft.</w:t>
                  </w:r>
                </w:p>
                <w:p w:rsidR="00912F63" w:rsidRPr="00FE03AD" w:rsidRDefault="00912F63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ED7533" w:rsidRPr="00C57FA1" w:rsidSect="00F55594">
      <w:type w:val="continuous"/>
      <w:pgSz w:w="12240" w:h="15840"/>
      <w:pgMar w:top="168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63" w:rsidRDefault="00AD3563" w:rsidP="00F94284"/>
  </w:endnote>
  <w:endnote w:type="continuationSeparator" w:id="0">
    <w:p w:rsidR="00AD3563" w:rsidRDefault="00AD3563" w:rsidP="00F94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Light">
    <w:altName w:val="Segoe UI"/>
    <w:panose1 w:val="020B0302040504020203"/>
    <w:charset w:val="00"/>
    <w:family w:val="swiss"/>
    <w:pitch w:val="variable"/>
    <w:sig w:usb0="A00002AF" w:usb1="4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">
    <w:altName w:val="Times New Roman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33" w:rsidRPr="00460BF3" w:rsidRDefault="00ED7533" w:rsidP="00460BF3">
    <w:pPr>
      <w:pStyle w:val="Rodap"/>
    </w:pPr>
    <w:r>
      <w:rPr>
        <w:rFonts w:ascii="Calibri" w:hAnsi="Calibri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33" w:rsidRDefault="00ED7533">
    <w:pPr>
      <w:pStyle w:val="Rodap"/>
    </w:pPr>
    <w:r>
      <w:rPr>
        <w:noProof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004D5535" wp14:editId="31CA8309">
          <wp:simplePos x="0" y="0"/>
          <wp:positionH relativeFrom="column">
            <wp:posOffset>-871496</wp:posOffset>
          </wp:positionH>
          <wp:positionV relativeFrom="paragraph">
            <wp:posOffset>-1781893</wp:posOffset>
          </wp:positionV>
          <wp:extent cx="6962196" cy="2361538"/>
          <wp:effectExtent l="19050" t="0" r="0" b="0"/>
          <wp:wrapNone/>
          <wp:docPr id="4" name="Picture 1" descr="MSFT1741-Doc-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FT1741-Doc-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96" cy="2361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63" w:rsidRDefault="00AD3563" w:rsidP="00F94284"/>
  </w:footnote>
  <w:footnote w:type="continuationSeparator" w:id="0">
    <w:p w:rsidR="00AD3563" w:rsidRDefault="00AD3563" w:rsidP="00F942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F63" w:rsidRPr="00912F63" w:rsidRDefault="00912F63" w:rsidP="00912F63">
    <w:pPr>
      <w:pStyle w:val="Cabealho"/>
    </w:pPr>
    <w:r w:rsidRPr="00912F63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50786D1" wp14:editId="6CCBEEBE">
          <wp:simplePos x="0" y="0"/>
          <wp:positionH relativeFrom="column">
            <wp:posOffset>-185696</wp:posOffset>
          </wp:positionH>
          <wp:positionV relativeFrom="paragraph">
            <wp:posOffset>242515</wp:posOffset>
          </wp:positionV>
          <wp:extent cx="5697938" cy="254442"/>
          <wp:effectExtent l="19050" t="0" r="0" b="0"/>
          <wp:wrapNone/>
          <wp:docPr id="3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icated str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7938" cy="25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Microsoft Exchange Online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33" w:rsidRPr="000332E6" w:rsidRDefault="00ED7533" w:rsidP="000332E6">
    <w:pPr>
      <w:pStyle w:val="Style1"/>
    </w:pPr>
    <w:r w:rsidRPr="000332E6">
      <w:rPr>
        <w:lang w:val="pt-BR" w:eastAsia="pt-BR"/>
      </w:rPr>
      <w:drawing>
        <wp:anchor distT="0" distB="0" distL="114300" distR="114300" simplePos="0" relativeHeight="251660288" behindDoc="1" locked="0" layoutInCell="1" allowOverlap="1" wp14:anchorId="6692E1A9" wp14:editId="2BE80D27">
          <wp:simplePos x="0" y="0"/>
          <wp:positionH relativeFrom="column">
            <wp:posOffset>19050</wp:posOffset>
          </wp:positionH>
          <wp:positionV relativeFrom="paragraph">
            <wp:posOffset>501091</wp:posOffset>
          </wp:positionV>
          <wp:extent cx="5935523" cy="256032"/>
          <wp:effectExtent l="19050" t="0" r="8077" b="0"/>
          <wp:wrapNone/>
          <wp:docPr id="2" name="Picture 2" descr="dedicated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icated str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523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F81BD"/>
      </w:rPr>
      <w:t>Microsoft Exchange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3096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23B40"/>
    <w:multiLevelType w:val="hybridMultilevel"/>
    <w:tmpl w:val="76005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944DF"/>
    <w:multiLevelType w:val="hybridMultilevel"/>
    <w:tmpl w:val="777E78F8"/>
    <w:lvl w:ilvl="0" w:tplc="972C08B6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63553"/>
    <w:multiLevelType w:val="hybridMultilevel"/>
    <w:tmpl w:val="E176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C4E9C"/>
    <w:multiLevelType w:val="hybridMultilevel"/>
    <w:tmpl w:val="03B2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87A54"/>
    <w:multiLevelType w:val="hybridMultilevel"/>
    <w:tmpl w:val="0E20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533"/>
    <w:rsid w:val="0001575D"/>
    <w:rsid w:val="000332E6"/>
    <w:rsid w:val="0005457D"/>
    <w:rsid w:val="000A3EF1"/>
    <w:rsid w:val="000B0E6C"/>
    <w:rsid w:val="000B1994"/>
    <w:rsid w:val="000C7B72"/>
    <w:rsid w:val="000F54EA"/>
    <w:rsid w:val="0018598C"/>
    <w:rsid w:val="00201F6A"/>
    <w:rsid w:val="00206C75"/>
    <w:rsid w:val="00224401"/>
    <w:rsid w:val="00231AFF"/>
    <w:rsid w:val="00234106"/>
    <w:rsid w:val="00265C04"/>
    <w:rsid w:val="00283DC5"/>
    <w:rsid w:val="0028611A"/>
    <w:rsid w:val="00291445"/>
    <w:rsid w:val="002B2D79"/>
    <w:rsid w:val="002B3772"/>
    <w:rsid w:val="002C205D"/>
    <w:rsid w:val="002E5145"/>
    <w:rsid w:val="002F20FF"/>
    <w:rsid w:val="002F6947"/>
    <w:rsid w:val="00341677"/>
    <w:rsid w:val="00342086"/>
    <w:rsid w:val="00347EBC"/>
    <w:rsid w:val="00371DCE"/>
    <w:rsid w:val="0037663B"/>
    <w:rsid w:val="00392454"/>
    <w:rsid w:val="003F0253"/>
    <w:rsid w:val="00406584"/>
    <w:rsid w:val="00430862"/>
    <w:rsid w:val="004576AD"/>
    <w:rsid w:val="004711E5"/>
    <w:rsid w:val="00475624"/>
    <w:rsid w:val="004A6858"/>
    <w:rsid w:val="004B0705"/>
    <w:rsid w:val="004C0003"/>
    <w:rsid w:val="004C0C60"/>
    <w:rsid w:val="004C3251"/>
    <w:rsid w:val="004E07E7"/>
    <w:rsid w:val="005102BA"/>
    <w:rsid w:val="005A62F5"/>
    <w:rsid w:val="005B00FF"/>
    <w:rsid w:val="00660958"/>
    <w:rsid w:val="006A59BA"/>
    <w:rsid w:val="006C16CF"/>
    <w:rsid w:val="006C67E1"/>
    <w:rsid w:val="006C689D"/>
    <w:rsid w:val="006D092C"/>
    <w:rsid w:val="007857F8"/>
    <w:rsid w:val="00786472"/>
    <w:rsid w:val="007A217A"/>
    <w:rsid w:val="007B64E4"/>
    <w:rsid w:val="007C7B09"/>
    <w:rsid w:val="0081411D"/>
    <w:rsid w:val="00871780"/>
    <w:rsid w:val="00876026"/>
    <w:rsid w:val="008A23B3"/>
    <w:rsid w:val="008B52B3"/>
    <w:rsid w:val="008C6D44"/>
    <w:rsid w:val="008E55D7"/>
    <w:rsid w:val="00904808"/>
    <w:rsid w:val="00912F63"/>
    <w:rsid w:val="00914099"/>
    <w:rsid w:val="009165DB"/>
    <w:rsid w:val="00936586"/>
    <w:rsid w:val="00937D64"/>
    <w:rsid w:val="00940ED3"/>
    <w:rsid w:val="00961534"/>
    <w:rsid w:val="00975A1C"/>
    <w:rsid w:val="009974EF"/>
    <w:rsid w:val="009A3878"/>
    <w:rsid w:val="009C2E56"/>
    <w:rsid w:val="009D74DF"/>
    <w:rsid w:val="009E2C14"/>
    <w:rsid w:val="009F66CA"/>
    <w:rsid w:val="00A31FA7"/>
    <w:rsid w:val="00A40FFE"/>
    <w:rsid w:val="00A6422A"/>
    <w:rsid w:val="00A910AA"/>
    <w:rsid w:val="00A9151A"/>
    <w:rsid w:val="00AA1AB4"/>
    <w:rsid w:val="00AC2BAB"/>
    <w:rsid w:val="00AD3563"/>
    <w:rsid w:val="00AF5437"/>
    <w:rsid w:val="00B04D4D"/>
    <w:rsid w:val="00B12B44"/>
    <w:rsid w:val="00B239D6"/>
    <w:rsid w:val="00B35AEE"/>
    <w:rsid w:val="00B44B13"/>
    <w:rsid w:val="00B83444"/>
    <w:rsid w:val="00BB0392"/>
    <w:rsid w:val="00BB0C67"/>
    <w:rsid w:val="00BD2585"/>
    <w:rsid w:val="00BF3151"/>
    <w:rsid w:val="00BF7169"/>
    <w:rsid w:val="00C16121"/>
    <w:rsid w:val="00C221B2"/>
    <w:rsid w:val="00C25FC5"/>
    <w:rsid w:val="00C45355"/>
    <w:rsid w:val="00C52B6D"/>
    <w:rsid w:val="00C57FA1"/>
    <w:rsid w:val="00C63959"/>
    <w:rsid w:val="00CC5673"/>
    <w:rsid w:val="00CD33BF"/>
    <w:rsid w:val="00D27EA6"/>
    <w:rsid w:val="00D529A9"/>
    <w:rsid w:val="00D77A6D"/>
    <w:rsid w:val="00D8061A"/>
    <w:rsid w:val="00D86C3D"/>
    <w:rsid w:val="00D91768"/>
    <w:rsid w:val="00DE7CBB"/>
    <w:rsid w:val="00DF76E9"/>
    <w:rsid w:val="00E31B8A"/>
    <w:rsid w:val="00E86B1A"/>
    <w:rsid w:val="00EC02A6"/>
    <w:rsid w:val="00ED7533"/>
    <w:rsid w:val="00F10874"/>
    <w:rsid w:val="00F26368"/>
    <w:rsid w:val="00F37587"/>
    <w:rsid w:val="00F52314"/>
    <w:rsid w:val="00F73E03"/>
    <w:rsid w:val="00F76478"/>
    <w:rsid w:val="00F8465E"/>
    <w:rsid w:val="00F94284"/>
    <w:rsid w:val="00FD39C7"/>
    <w:rsid w:val="00FD5B6B"/>
    <w:rsid w:val="00FE03AD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E"/>
    <w:pPr>
      <w:spacing w:after="0" w:line="240" w:lineRule="auto"/>
    </w:pPr>
    <w:rPr>
      <w:iCs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332E6"/>
    <w:pPr>
      <w:autoSpaceDE w:val="0"/>
      <w:autoSpaceDN w:val="0"/>
      <w:adjustRightInd w:val="0"/>
      <w:spacing w:after="120" w:line="260" w:lineRule="atLeast"/>
      <w:textAlignment w:val="center"/>
      <w:outlineLvl w:val="0"/>
    </w:pPr>
    <w:rPr>
      <w:rFonts w:ascii="Segoe Light" w:eastAsia="Times New Roman" w:hAnsi="Segoe Light" w:cs="Segoe Light"/>
      <w:iCs w:val="0"/>
      <w:color w:val="C39E34"/>
      <w:sz w:val="36"/>
      <w:szCs w:val="36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332E6"/>
    <w:pPr>
      <w:autoSpaceDE w:val="0"/>
      <w:autoSpaceDN w:val="0"/>
      <w:adjustRightInd w:val="0"/>
      <w:spacing w:after="120"/>
      <w:outlineLvl w:val="1"/>
    </w:pPr>
    <w:rPr>
      <w:rFonts w:ascii="Segoe UI" w:eastAsia="Times New Roman" w:hAnsi="Segoe UI" w:cs="Segoe UI"/>
      <w:iCs w:val="0"/>
      <w:color w:val="0678B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autoRedefine/>
    <w:uiPriority w:val="99"/>
    <w:unhideWhenUsed/>
    <w:rsid w:val="00371DCE"/>
    <w:pPr>
      <w:numPr>
        <w:numId w:val="2"/>
      </w:numPr>
      <w:contextualSpacing/>
    </w:pPr>
    <w:rPr>
      <w:iCs w:val="0"/>
    </w:rPr>
  </w:style>
  <w:style w:type="paragraph" w:styleId="Cabealho">
    <w:name w:val="header"/>
    <w:basedOn w:val="Normal"/>
    <w:link w:val="CabealhoChar"/>
    <w:autoRedefine/>
    <w:uiPriority w:val="99"/>
    <w:rsid w:val="00912F63"/>
    <w:pPr>
      <w:jc w:val="both"/>
    </w:pPr>
    <w:rPr>
      <w:rFonts w:ascii="Segoe UI" w:eastAsia="Arial Narrow" w:hAnsi="Segoe UI" w:cs="Segoe UI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rsid w:val="00912F63"/>
    <w:rPr>
      <w:rFonts w:ascii="Segoe UI" w:eastAsia="Arial Narrow" w:hAnsi="Segoe UI" w:cs="Segoe UI"/>
      <w:iCs/>
      <w:sz w:val="32"/>
      <w:szCs w:val="32"/>
    </w:rPr>
  </w:style>
  <w:style w:type="paragraph" w:customStyle="1" w:styleId="BodyText">
    <w:name w:val="BodyText"/>
    <w:basedOn w:val="Normal"/>
    <w:autoRedefine/>
    <w:qFormat/>
    <w:rsid w:val="000332E6"/>
    <w:pPr>
      <w:autoSpaceDE w:val="0"/>
      <w:autoSpaceDN w:val="0"/>
      <w:adjustRightInd w:val="0"/>
      <w:spacing w:after="120"/>
    </w:pPr>
    <w:rPr>
      <w:rFonts w:ascii="Segoe UI" w:eastAsia="Times New Roman" w:hAnsi="Segoe UI" w:cs="Segoe UI"/>
      <w:iCs w:val="0"/>
      <w:color w:val="787270"/>
      <w:sz w:val="17"/>
      <w:szCs w:val="17"/>
    </w:rPr>
  </w:style>
  <w:style w:type="paragraph" w:styleId="Rodap">
    <w:name w:val="footer"/>
    <w:basedOn w:val="Normal"/>
    <w:link w:val="RodapChar"/>
    <w:uiPriority w:val="99"/>
    <w:unhideWhenUsed/>
    <w:rsid w:val="00ED753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D7533"/>
    <w:rPr>
      <w:iCs/>
      <w:sz w:val="24"/>
      <w:szCs w:val="24"/>
    </w:rPr>
  </w:style>
  <w:style w:type="paragraph" w:customStyle="1" w:styleId="Style1">
    <w:name w:val="Style1"/>
    <w:basedOn w:val="Ttulo1"/>
    <w:link w:val="Style1Char"/>
    <w:autoRedefine/>
    <w:qFormat/>
    <w:rsid w:val="000332E6"/>
    <w:pPr>
      <w:suppressAutoHyphens/>
      <w:spacing w:before="240" w:after="300" w:line="280" w:lineRule="exact"/>
    </w:pPr>
    <w:rPr>
      <w:rFonts w:cs="Times New Roman"/>
      <w:noProof/>
      <w:color w:val="4F81BD" w:themeColor="accent1"/>
      <w:kern w:val="32"/>
      <w:sz w:val="48"/>
      <w:szCs w:val="32"/>
    </w:rPr>
  </w:style>
  <w:style w:type="character" w:customStyle="1" w:styleId="Style1Char">
    <w:name w:val="Style1 Char"/>
    <w:basedOn w:val="Fontepargpadro"/>
    <w:link w:val="Style1"/>
    <w:rsid w:val="000332E6"/>
    <w:rPr>
      <w:rFonts w:ascii="Segoe Light" w:eastAsia="Times New Roman" w:hAnsi="Segoe Light" w:cs="Times New Roman"/>
      <w:noProof/>
      <w:color w:val="4F81BD" w:themeColor="accent1"/>
      <w:kern w:val="32"/>
      <w:sz w:val="48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0332E6"/>
    <w:rPr>
      <w:rFonts w:ascii="Segoe Light" w:eastAsia="Times New Roman" w:hAnsi="Segoe Light" w:cs="Segoe Light"/>
      <w:color w:val="C39E34"/>
      <w:sz w:val="36"/>
      <w:szCs w:val="3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D753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D7533"/>
    <w:rPr>
      <w:rFonts w:ascii="Tahoma" w:hAnsi="Tahoma" w:cs="Tahoma"/>
      <w:i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2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284"/>
    <w:rPr>
      <w:rFonts w:ascii="Tahoma" w:hAnsi="Tahoma" w:cs="Tahoma"/>
      <w:i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42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94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2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4284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2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4284"/>
    <w:rPr>
      <w:b/>
      <w:bCs/>
      <w:iCs/>
      <w:sz w:val="20"/>
      <w:szCs w:val="20"/>
    </w:rPr>
  </w:style>
  <w:style w:type="paragraph" w:customStyle="1" w:styleId="copyright">
    <w:name w:val="copyright"/>
    <w:basedOn w:val="Normal"/>
    <w:next w:val="Normal"/>
    <w:uiPriority w:val="99"/>
    <w:rsid w:val="00C221B2"/>
    <w:pPr>
      <w:autoSpaceDE w:val="0"/>
      <w:autoSpaceDN w:val="0"/>
      <w:adjustRightInd w:val="0"/>
      <w:spacing w:line="260" w:lineRule="atLeast"/>
      <w:textAlignment w:val="center"/>
    </w:pPr>
    <w:rPr>
      <w:rFonts w:ascii="Segoe Book" w:eastAsia="Times New Roman" w:hAnsi="Segoe Book" w:cs="Segoe Book"/>
      <w:iCs w:val="0"/>
      <w:color w:val="787270"/>
      <w:sz w:val="14"/>
      <w:szCs w:val="14"/>
    </w:rPr>
  </w:style>
  <w:style w:type="character" w:customStyle="1" w:styleId="Ttulo2Char">
    <w:name w:val="Título 2 Char"/>
    <w:basedOn w:val="Fontepargpadro"/>
    <w:link w:val="Ttulo2"/>
    <w:uiPriority w:val="9"/>
    <w:rsid w:val="000332E6"/>
    <w:rPr>
      <w:rFonts w:ascii="Segoe UI" w:eastAsia="Times New Roman" w:hAnsi="Segoe UI" w:cs="Segoe UI"/>
      <w:color w:val="0678B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E"/>
    <w:pPr>
      <w:spacing w:after="0" w:line="240" w:lineRule="auto"/>
    </w:pPr>
    <w:rPr>
      <w:iCs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332E6"/>
    <w:pPr>
      <w:autoSpaceDE w:val="0"/>
      <w:autoSpaceDN w:val="0"/>
      <w:adjustRightInd w:val="0"/>
      <w:spacing w:after="120" w:line="260" w:lineRule="atLeast"/>
      <w:textAlignment w:val="center"/>
      <w:outlineLvl w:val="0"/>
    </w:pPr>
    <w:rPr>
      <w:rFonts w:ascii="Segoe Light" w:eastAsia="Times New Roman" w:hAnsi="Segoe Light" w:cs="Segoe Light"/>
      <w:iCs w:val="0"/>
      <w:color w:val="C39E34"/>
      <w:sz w:val="36"/>
      <w:szCs w:val="36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332E6"/>
    <w:pPr>
      <w:autoSpaceDE w:val="0"/>
      <w:autoSpaceDN w:val="0"/>
      <w:adjustRightInd w:val="0"/>
      <w:spacing w:after="120"/>
      <w:outlineLvl w:val="1"/>
    </w:pPr>
    <w:rPr>
      <w:rFonts w:ascii="Segoe UI" w:eastAsia="Times New Roman" w:hAnsi="Segoe UI" w:cs="Segoe UI"/>
      <w:iCs w:val="0"/>
      <w:color w:val="0678B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autoRedefine/>
    <w:uiPriority w:val="99"/>
    <w:unhideWhenUsed/>
    <w:rsid w:val="00371DCE"/>
    <w:pPr>
      <w:tabs>
        <w:tab w:val="num" w:pos="360"/>
      </w:tabs>
      <w:ind w:left="360" w:hanging="360"/>
      <w:contextualSpacing/>
    </w:pPr>
    <w:rPr>
      <w:iCs w:val="0"/>
    </w:rPr>
  </w:style>
  <w:style w:type="paragraph" w:styleId="Cabealho">
    <w:name w:val="header"/>
    <w:basedOn w:val="Normal"/>
    <w:link w:val="CabealhoChar"/>
    <w:autoRedefine/>
    <w:uiPriority w:val="99"/>
    <w:rsid w:val="00912F63"/>
    <w:pPr>
      <w:jc w:val="both"/>
    </w:pPr>
    <w:rPr>
      <w:rFonts w:ascii="Segoe UI" w:eastAsia="Arial Narrow" w:hAnsi="Segoe UI" w:cs="Segoe UI"/>
      <w:sz w:val="32"/>
      <w:szCs w:val="32"/>
    </w:rPr>
  </w:style>
  <w:style w:type="character" w:customStyle="1" w:styleId="CabealhoChar">
    <w:name w:val="Header Char"/>
    <w:basedOn w:val="Fontepargpadro"/>
    <w:link w:val="Cabealho"/>
    <w:uiPriority w:val="99"/>
    <w:rsid w:val="00912F63"/>
    <w:rPr>
      <w:rFonts w:ascii="Segoe UI" w:eastAsia="Arial Narrow" w:hAnsi="Segoe UI" w:cs="Segoe UI"/>
      <w:iCs/>
      <w:sz w:val="32"/>
      <w:szCs w:val="32"/>
    </w:rPr>
  </w:style>
  <w:style w:type="paragraph" w:customStyle="1" w:styleId="BodyText">
    <w:name w:val="BodyText"/>
    <w:basedOn w:val="Normal"/>
    <w:autoRedefine/>
    <w:qFormat/>
    <w:rsid w:val="000332E6"/>
    <w:pPr>
      <w:autoSpaceDE w:val="0"/>
      <w:autoSpaceDN w:val="0"/>
      <w:adjustRightInd w:val="0"/>
      <w:spacing w:after="120"/>
    </w:pPr>
    <w:rPr>
      <w:rFonts w:ascii="Segoe UI" w:eastAsia="Times New Roman" w:hAnsi="Segoe UI" w:cs="Segoe UI"/>
      <w:iCs w:val="0"/>
      <w:color w:val="787270"/>
      <w:sz w:val="17"/>
      <w:szCs w:val="17"/>
    </w:rPr>
  </w:style>
  <w:style w:type="paragraph" w:styleId="Rodap">
    <w:name w:val="footer"/>
    <w:basedOn w:val="Normal"/>
    <w:link w:val="RodapChar"/>
    <w:uiPriority w:val="99"/>
    <w:unhideWhenUsed/>
    <w:rsid w:val="00ED7533"/>
    <w:pPr>
      <w:tabs>
        <w:tab w:val="center" w:pos="4680"/>
        <w:tab w:val="right" w:pos="9360"/>
      </w:tabs>
    </w:pPr>
  </w:style>
  <w:style w:type="character" w:customStyle="1" w:styleId="RodapChar">
    <w:name w:val="Footer Char"/>
    <w:basedOn w:val="Fontepargpadro"/>
    <w:link w:val="Rodap"/>
    <w:uiPriority w:val="99"/>
    <w:rsid w:val="00ED7533"/>
    <w:rPr>
      <w:iCs/>
      <w:sz w:val="24"/>
      <w:szCs w:val="24"/>
    </w:rPr>
  </w:style>
  <w:style w:type="paragraph" w:customStyle="1" w:styleId="Style1">
    <w:name w:val="Style1"/>
    <w:basedOn w:val="Ttulo1"/>
    <w:link w:val="Style1Char"/>
    <w:autoRedefine/>
    <w:qFormat/>
    <w:rsid w:val="000332E6"/>
    <w:pPr>
      <w:suppressAutoHyphens/>
      <w:spacing w:before="240" w:after="300" w:line="280" w:lineRule="exact"/>
    </w:pPr>
    <w:rPr>
      <w:rFonts w:cs="Times New Roman"/>
      <w:noProof/>
      <w:color w:val="4F81BD" w:themeColor="accent1"/>
      <w:kern w:val="32"/>
      <w:sz w:val="48"/>
      <w:szCs w:val="32"/>
    </w:rPr>
  </w:style>
  <w:style w:type="character" w:customStyle="1" w:styleId="Style1Char">
    <w:name w:val="Style1 Char"/>
    <w:basedOn w:val="Fontepargpadro"/>
    <w:link w:val="Style1"/>
    <w:rsid w:val="000332E6"/>
    <w:rPr>
      <w:rFonts w:ascii="Segoe Light" w:eastAsia="Times New Roman" w:hAnsi="Segoe Light" w:cs="Times New Roman"/>
      <w:noProof/>
      <w:color w:val="4F81BD" w:themeColor="accent1"/>
      <w:kern w:val="32"/>
      <w:sz w:val="48"/>
      <w:szCs w:val="32"/>
    </w:rPr>
  </w:style>
  <w:style w:type="character" w:customStyle="1" w:styleId="Ttulo1Char">
    <w:name w:val="Heading 1 Char"/>
    <w:basedOn w:val="Fontepargpadro"/>
    <w:link w:val="Ttulo1"/>
    <w:uiPriority w:val="9"/>
    <w:rsid w:val="000332E6"/>
    <w:rPr>
      <w:rFonts w:ascii="Segoe Light" w:eastAsia="Times New Roman" w:hAnsi="Segoe Light" w:cs="Segoe Light"/>
      <w:color w:val="C39E34"/>
      <w:sz w:val="36"/>
      <w:szCs w:val="3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D7533"/>
    <w:rPr>
      <w:rFonts w:ascii="Tahoma" w:hAnsi="Tahoma" w:cs="Tahoma"/>
      <w:sz w:val="16"/>
      <w:szCs w:val="16"/>
    </w:rPr>
  </w:style>
  <w:style w:type="character" w:customStyle="1" w:styleId="MapadoDocumentoChar">
    <w:name w:val="Document Map Char"/>
    <w:basedOn w:val="Fontepargpadro"/>
    <w:link w:val="MapadoDocumento"/>
    <w:uiPriority w:val="99"/>
    <w:semiHidden/>
    <w:rsid w:val="00ED7533"/>
    <w:rPr>
      <w:rFonts w:ascii="Tahoma" w:hAnsi="Tahoma" w:cs="Tahoma"/>
      <w:i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284"/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F94284"/>
    <w:rPr>
      <w:rFonts w:ascii="Tahoma" w:hAnsi="Tahoma" w:cs="Tahoma"/>
      <w:i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428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942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4284"/>
    <w:rPr>
      <w:sz w:val="20"/>
      <w:szCs w:val="20"/>
    </w:rPr>
  </w:style>
  <w:style w:type="character" w:customStyle="1" w:styleId="TextodecomentrioChar">
    <w:name w:val="Comment Text Char"/>
    <w:basedOn w:val="Fontepargpadro"/>
    <w:link w:val="Textodecomentrio"/>
    <w:uiPriority w:val="99"/>
    <w:semiHidden/>
    <w:rsid w:val="00F94284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4284"/>
    <w:rPr>
      <w:b/>
      <w:bCs/>
    </w:rPr>
  </w:style>
  <w:style w:type="character" w:customStyle="1" w:styleId="AssuntodocomentrioChar">
    <w:name w:val="Comment Subject Char"/>
    <w:basedOn w:val="TextodecomentrioChar"/>
    <w:link w:val="Assuntodocomentrio"/>
    <w:uiPriority w:val="99"/>
    <w:semiHidden/>
    <w:rsid w:val="00F94284"/>
    <w:rPr>
      <w:b/>
      <w:bCs/>
      <w:iCs/>
      <w:sz w:val="20"/>
      <w:szCs w:val="20"/>
    </w:rPr>
  </w:style>
  <w:style w:type="paragraph" w:customStyle="1" w:styleId="copyright">
    <w:name w:val="copyright"/>
    <w:basedOn w:val="Normal"/>
    <w:next w:val="Normal"/>
    <w:uiPriority w:val="99"/>
    <w:rsid w:val="00C221B2"/>
    <w:pPr>
      <w:autoSpaceDE w:val="0"/>
      <w:autoSpaceDN w:val="0"/>
      <w:adjustRightInd w:val="0"/>
      <w:spacing w:line="260" w:lineRule="atLeast"/>
      <w:textAlignment w:val="center"/>
    </w:pPr>
    <w:rPr>
      <w:rFonts w:ascii="Segoe Book" w:eastAsia="Times New Roman" w:hAnsi="Segoe Book" w:cs="Segoe Book"/>
      <w:iCs w:val="0"/>
      <w:color w:val="787270"/>
      <w:sz w:val="14"/>
      <w:szCs w:val="14"/>
    </w:rPr>
  </w:style>
  <w:style w:type="character" w:customStyle="1" w:styleId="Ttulo2Char">
    <w:name w:val="Heading 2 Char"/>
    <w:basedOn w:val="Fontepargpadro"/>
    <w:link w:val="Ttulo2"/>
    <w:uiPriority w:val="9"/>
    <w:rsid w:val="000332E6"/>
    <w:rPr>
      <w:rFonts w:ascii="Segoe UI" w:eastAsia="Times New Roman" w:hAnsi="Segoe UI" w:cs="Segoe UI"/>
      <w:color w:val="0678B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B7AD6C49FD147BAECFE3284CC61AB" ma:contentTypeVersion="0" ma:contentTypeDescription="Create a new document." ma:contentTypeScope="" ma:versionID="9a6327f09d7b17d5eb958ed36bcf2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A133-3A58-4FC5-95B4-2FFE645D9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F3C9B-FCB0-40C7-93C6-259FD572B9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B09710-FC9B-4483-8840-A056F1D2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323130-5322-4A5C-933E-B8A58414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Online Dedicated Data Sheet - April 2010</vt:lpstr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Online Dedicated Data Sheet - April 2010</dc:title>
  <dc:creator>Microsoft</dc:creator>
  <cp:lastModifiedBy>Francisco Baddini</cp:lastModifiedBy>
  <cp:revision>5</cp:revision>
  <cp:lastPrinted>2009-08-10T20:08:00Z</cp:lastPrinted>
  <dcterms:created xsi:type="dcterms:W3CDTF">2010-04-16T19:46:00Z</dcterms:created>
  <dcterms:modified xsi:type="dcterms:W3CDTF">2010-04-26T18:10:00Z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0x010100C83B7AD6C49FD147BAECFE3284CC61AB</vt:lpwstr>
  </property>
</Properties>
</file>