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47" w:rsidRDefault="00297647" w:rsidP="00297647">
      <w:bookmarkStart w:id="0" w:name="_GoBack"/>
      <w:bookmarkEnd w:id="0"/>
      <w:r>
        <w:t xml:space="preserve">Date: </w:t>
      </w:r>
      <w:r w:rsidR="00E942F6">
        <w:rPr>
          <w:rFonts w:eastAsia="Calibri"/>
        </w:rPr>
        <w:t>Dec 1, 2014</w:t>
      </w:r>
    </w:p>
    <w:p w:rsidR="00297647" w:rsidRDefault="00297647" w:rsidP="00F71396">
      <w:r>
        <w:t xml:space="preserve">Name of Product: </w:t>
      </w:r>
      <w:r w:rsidR="00BD78FA" w:rsidRPr="00BD78FA">
        <w:rPr>
          <w:rFonts w:eastAsia="Calibri"/>
        </w:rPr>
        <w:t>Microsoft Dynamics Lifecycle Services</w:t>
      </w:r>
    </w:p>
    <w:p w:rsidR="000420AC" w:rsidRDefault="000420AC" w:rsidP="00F71396">
      <w:pPr>
        <w:pStyle w:val="HyperlinkHeading"/>
        <w:jc w:val="left"/>
      </w:pPr>
      <w:r w:rsidRPr="00F71396">
        <w:rPr>
          <w:b w:val="0"/>
          <w:sz w:val="20"/>
          <w:szCs w:val="20"/>
        </w:rPr>
        <w:t xml:space="preserve">Contact for more information: </w:t>
      </w:r>
      <w:hyperlink r:id="rId8" w:history="1">
        <w:r w:rsidR="00BD78FA">
          <w:rPr>
            <w:rStyle w:val="Hyperlink"/>
            <w:b w:val="0"/>
            <w:bCs/>
          </w:rPr>
          <w:t>http://www.dynamicsonline.com/</w:t>
        </w:r>
      </w:hyperlink>
    </w:p>
    <w:p w:rsidR="00535F03" w:rsidRPr="00863AEE" w:rsidRDefault="00D73EDE" w:rsidP="002751BD">
      <w:pPr>
        <w:jc w:val="center"/>
      </w:pPr>
      <w:r>
        <w:rPr>
          <w:rStyle w:val="Heading2Char"/>
        </w:rPr>
        <w:t>Summary Table</w:t>
      </w:r>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535F03" w:rsidRPr="00E331B6" w:rsidTr="00535F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535F03" w:rsidRPr="00E331B6" w:rsidRDefault="00535F03" w:rsidP="00535F03">
            <w:pPr>
              <w:pStyle w:val="NoSpacing"/>
              <w:rPr>
                <w:rFonts w:cs="Segoe UI"/>
                <w:sz w:val="20"/>
                <w:szCs w:val="20"/>
                <w:lang w:eastAsia="ja-JP"/>
              </w:rPr>
            </w:pPr>
            <w:r w:rsidRPr="00E331B6">
              <w:rPr>
                <w:rFonts w:cs="Segoe UI"/>
                <w:sz w:val="20"/>
                <w:szCs w:val="20"/>
              </w:rPr>
              <w:t>Criteria</w:t>
            </w:r>
          </w:p>
        </w:tc>
        <w:tc>
          <w:tcPr>
            <w:tcW w:w="3150" w:type="dxa"/>
            <w:tcBorders>
              <w:bottom w:val="nil"/>
            </w:tcBorders>
            <w:shd w:val="clear" w:color="auto" w:fill="365F91" w:themeFill="accent1" w:themeFillShade="BF"/>
            <w:hideMark/>
          </w:tcPr>
          <w:p w:rsidR="00535F03" w:rsidRPr="00E331B6" w:rsidRDefault="00535F03" w:rsidP="00535F03">
            <w:pPr>
              <w:pStyle w:val="NoSpacing"/>
              <w:cnfStyle w:val="100000000000" w:firstRow="1" w:lastRow="0" w:firstColumn="0" w:lastColumn="0" w:oddVBand="0" w:evenVBand="0" w:oddHBand="0" w:evenHBand="0" w:firstRowFirstColumn="0" w:firstRowLastColumn="0" w:lastRowFirstColumn="0" w:lastRowLastColumn="0"/>
              <w:rPr>
                <w:rFonts w:cs="Segoe UI"/>
                <w:sz w:val="20"/>
                <w:szCs w:val="20"/>
              </w:rPr>
            </w:pPr>
            <w:r w:rsidRPr="00E331B6">
              <w:rPr>
                <w:rFonts w:cs="Segoe UI"/>
                <w:sz w:val="20"/>
                <w:szCs w:val="20"/>
              </w:rPr>
              <w:t>Supporting Feature</w:t>
            </w:r>
          </w:p>
        </w:tc>
        <w:tc>
          <w:tcPr>
            <w:tcW w:w="3330" w:type="dxa"/>
            <w:tcBorders>
              <w:bottom w:val="nil"/>
            </w:tcBorders>
            <w:shd w:val="clear" w:color="auto" w:fill="365F91" w:themeFill="accent1" w:themeFillShade="BF"/>
            <w:hideMark/>
          </w:tcPr>
          <w:p w:rsidR="00535F03" w:rsidRPr="00E331B6" w:rsidRDefault="00535F03" w:rsidP="00535F03">
            <w:pPr>
              <w:pStyle w:val="NoSpacing"/>
              <w:cnfStyle w:val="100000000000" w:firstRow="1" w:lastRow="0" w:firstColumn="0" w:lastColumn="0" w:oddVBand="0" w:evenVBand="0" w:oddHBand="0" w:evenHBand="0" w:firstRowFirstColumn="0" w:firstRowLastColumn="0" w:lastRowFirstColumn="0" w:lastRowLastColumn="0"/>
              <w:rPr>
                <w:rFonts w:cs="Segoe UI"/>
                <w:sz w:val="20"/>
                <w:szCs w:val="20"/>
                <w:lang w:eastAsia="ja-JP"/>
              </w:rPr>
            </w:pPr>
            <w:r w:rsidRPr="00E331B6">
              <w:rPr>
                <w:rFonts w:cs="Segoe UI"/>
                <w:sz w:val="20"/>
                <w:szCs w:val="20"/>
              </w:rPr>
              <w:t>Remarks and Explanations</w:t>
            </w:r>
          </w:p>
        </w:tc>
      </w:tr>
      <w:tr w:rsidR="00535F03" w:rsidRPr="00E331B6" w:rsidTr="0053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37255d71-e877-40c8-ad83-578a0557daa5">
              <w:r w:rsidR="00D73EDE">
                <w:rPr>
                  <w:rStyle w:val="Hyperlink"/>
                </w:rPr>
                <w:t>Section 1194.21 Software Applications and Operating Systems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sdt>
              <w:sdtPr>
                <w:rPr>
                  <w:rFonts w:cs="Segoe UI"/>
                  <w:sz w:val="20"/>
                  <w:szCs w:val="20"/>
                </w:rPr>
                <w:id w:val="-273087562"/>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Level of support varies by individual requirement</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sz w:val="20"/>
                <w:szCs w:val="20"/>
              </w:rPr>
              <w:t>Please refer to the VPAT Details</w:t>
            </w:r>
          </w:p>
        </w:tc>
      </w:tr>
      <w:tr w:rsidR="00535F03" w:rsidRPr="00E331B6" w:rsidTr="00535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3801da6c-c2a3-45e0-9808-88698fdeec44">
              <w:r w:rsidR="00D73EDE">
                <w:rPr>
                  <w:rStyle w:val="Hyperlink"/>
                </w:rPr>
                <w:t>Section 1194.22 Web-based Internet information and applications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sdt>
              <w:sdtPr>
                <w:rPr>
                  <w:rFonts w:cs="Segoe UI"/>
                  <w:sz w:val="20"/>
                  <w:szCs w:val="20"/>
                </w:rPr>
                <w:id w:val="-1610113273"/>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Level of support varies by individual requirement</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r>
              <w:rPr>
                <w:rFonts w:cs="Segoe UI"/>
                <w:sz w:val="20"/>
                <w:szCs w:val="20"/>
              </w:rPr>
              <w:t>Please refer to the VPAT Details</w:t>
            </w:r>
          </w:p>
        </w:tc>
      </w:tr>
      <w:tr w:rsidR="00535F03" w:rsidRPr="00E331B6" w:rsidTr="0053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19bfd9a7-969e-40fe-a926-5d44f4af68e3">
              <w:r w:rsidR="00D73EDE">
                <w:rPr>
                  <w:rStyle w:val="Hyperlink"/>
                </w:rPr>
                <w:t>Section 1194.23 Telecommunications Products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sdt>
              <w:sdtPr>
                <w:rPr>
                  <w:rFonts w:cs="Segoe UI"/>
                  <w:sz w:val="20"/>
                  <w:szCs w:val="20"/>
                </w:rPr>
                <w:id w:val="830721433"/>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Not applicable</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sz w:val="20"/>
                <w:szCs w:val="20"/>
              </w:rPr>
              <w:t>Section not applicable to this product</w:t>
            </w:r>
          </w:p>
        </w:tc>
      </w:tr>
      <w:tr w:rsidR="00535F03" w:rsidRPr="00E331B6" w:rsidTr="00535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3fb4902e-5f68-41f0-be28-5a61c1a8f151">
              <w:r w:rsidR="00D73EDE">
                <w:rPr>
                  <w:rStyle w:val="Hyperlink"/>
                </w:rPr>
                <w:t>Section 1194.24 Video and Multi-media Products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sdt>
              <w:sdtPr>
                <w:rPr>
                  <w:rFonts w:cs="Segoe UI"/>
                  <w:sz w:val="20"/>
                  <w:szCs w:val="20"/>
                </w:rPr>
                <w:id w:val="-1049836663"/>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Not applicable</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r>
              <w:rPr>
                <w:rFonts w:cs="Segoe UI"/>
                <w:sz w:val="20"/>
                <w:szCs w:val="20"/>
              </w:rPr>
              <w:t>Section not applicable to this product</w:t>
            </w:r>
          </w:p>
        </w:tc>
      </w:tr>
      <w:tr w:rsidR="00535F03" w:rsidRPr="00E331B6" w:rsidTr="0053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3733a7b2-78db-4f69-aaa7-af513b895335">
              <w:r w:rsidR="00D73EDE">
                <w:rPr>
                  <w:rStyle w:val="Hyperlink"/>
                </w:rPr>
                <w:t>Section 1194.25 Self-Contained, Closed Products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sdt>
              <w:sdtPr>
                <w:rPr>
                  <w:rFonts w:cs="Segoe UI"/>
                  <w:sz w:val="20"/>
                  <w:szCs w:val="20"/>
                </w:rPr>
                <w:id w:val="-956638828"/>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Not applicable</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sz w:val="20"/>
                <w:szCs w:val="20"/>
              </w:rPr>
              <w:t>Section not applicable to this product</w:t>
            </w:r>
          </w:p>
        </w:tc>
      </w:tr>
      <w:tr w:rsidR="00535F03" w:rsidRPr="00E331B6" w:rsidTr="00535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e8cadbb4-eb2a-4fe6-9f3a-82e5bb5935bc">
              <w:r w:rsidR="00D73EDE">
                <w:rPr>
                  <w:rStyle w:val="Hyperlink"/>
                </w:rPr>
                <w:t>Section 1194.26 Desktop and Portable Computers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sdt>
              <w:sdtPr>
                <w:rPr>
                  <w:rFonts w:cs="Segoe UI"/>
                  <w:sz w:val="20"/>
                  <w:szCs w:val="20"/>
                </w:rPr>
                <w:id w:val="1961070805"/>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Not applicable</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r>
              <w:rPr>
                <w:rFonts w:cs="Segoe UI"/>
                <w:sz w:val="20"/>
                <w:szCs w:val="20"/>
              </w:rPr>
              <w:t>Section not applicable to this product</w:t>
            </w:r>
          </w:p>
        </w:tc>
      </w:tr>
      <w:tr w:rsidR="00535F03" w:rsidRPr="00E331B6" w:rsidTr="0053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552da994-ec81-4ebb-9ad9-38629d65a523">
              <w:r w:rsidR="00D73EDE">
                <w:rPr>
                  <w:rStyle w:val="Hyperlink"/>
                </w:rPr>
                <w:t>Section 1194.31 Functional Performance Criteria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sdt>
              <w:sdtPr>
                <w:rPr>
                  <w:rFonts w:cs="Segoe UI"/>
                  <w:sz w:val="20"/>
                  <w:szCs w:val="20"/>
                </w:rPr>
                <w:id w:val="-1717494297"/>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Level of support varies by individual requirement</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sz w:val="20"/>
                <w:szCs w:val="20"/>
              </w:rPr>
              <w:t>Please refer to the VPAT Details</w:t>
            </w:r>
          </w:p>
        </w:tc>
      </w:tr>
      <w:tr w:rsidR="00535F03" w:rsidRPr="00E331B6" w:rsidTr="00535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BC25F6">
            <w:pPr>
              <w:pStyle w:val="NoSpacing"/>
              <w:rPr>
                <w:sz w:val="20"/>
                <w:szCs w:val="20"/>
              </w:rPr>
            </w:pPr>
            <w:hyperlink w:anchor="987eb0a8-efa4-41ca-9036-fb7e3bf800eb">
              <w:r w:rsidR="00D73EDE">
                <w:rPr>
                  <w:rStyle w:val="Hyperlink"/>
                </w:rPr>
                <w:t>Section 1194.41 Information, Documentation and Support – Detail</w:t>
              </w:r>
            </w:hyperlink>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5806AE" w:rsidP="00915B5E">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sdt>
              <w:sdtPr>
                <w:rPr>
                  <w:rFonts w:cs="Segoe UI"/>
                  <w:sz w:val="20"/>
                  <w:szCs w:val="20"/>
                </w:rPr>
                <w:id w:val="1838803246"/>
                <w:dropDownList>
                  <w:listItem w:displayText="Choose an item" w:value="Choose an item"/>
                  <w:listItem w:displayText="Not applicable" w:value="Not applicable"/>
                  <w:listItem w:displayText="Supported" w:value="Supported"/>
                  <w:listItem w:displayText="Not supported" w:value="Not supported"/>
                  <w:listItem w:displayText="Level of support varies by individual requirement" w:value="Level of support varies by individual requirement"/>
                </w:dropDownList>
              </w:sdtPr>
              <w:sdtEndPr/>
              <w:sdtContent>
                <w:r w:rsidR="00D73EDE">
                  <w:rPr>
                    <w:sz w:val="20"/>
                    <w:szCs w:val="20"/>
                  </w:rPr>
                  <w:t>Supported</w:t>
                </w:r>
              </w:sdtContent>
            </w:sdt>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535F03" w:rsidRPr="00E331B6" w:rsidRDefault="00D73EDE" w:rsidP="00535F03">
            <w:pPr>
              <w:pStyle w:val="NoSpacing"/>
              <w:cnfStyle w:val="000000010000" w:firstRow="0" w:lastRow="0" w:firstColumn="0" w:lastColumn="0" w:oddVBand="0" w:evenVBand="0" w:oddHBand="0" w:evenHBand="1" w:firstRowFirstColumn="0" w:firstRowLastColumn="0" w:lastRowFirstColumn="0" w:lastRowLastColumn="0"/>
              <w:rPr>
                <w:rFonts w:cs="Segoe UI"/>
                <w:sz w:val="20"/>
                <w:szCs w:val="20"/>
              </w:rPr>
            </w:pPr>
            <w:r>
              <w:rPr>
                <w:rFonts w:cs="Segoe UI"/>
                <w:sz w:val="20"/>
                <w:szCs w:val="20"/>
              </w:rPr>
              <w:t>Please refer to the VPAT Details</w:t>
            </w:r>
          </w:p>
        </w:tc>
      </w:tr>
    </w:tbl>
    <w:p w:rsidR="00863AEE" w:rsidRDefault="00863AEE" w:rsidP="00BD0F78"/>
    <w:p w:rsidR="00D64FDA" w:rsidRDefault="00D64FDA" w:rsidP="00BD0F78">
      <w:pPr>
        <w:jc w:val="center"/>
        <w:sectPr w:rsidR="00D64FDA" w:rsidSect="004920DF">
          <w:headerReference w:type="default" r:id="rId9"/>
          <w:footerReference w:type="default" r:id="rId10"/>
          <w:pgSz w:w="12240" w:h="15840"/>
          <w:pgMar w:top="1440" w:right="1440" w:bottom="1440" w:left="1440" w:header="720" w:footer="360" w:gutter="0"/>
          <w:cols w:space="720"/>
          <w:docGrid w:linePitch="360"/>
        </w:sectPr>
      </w:pPr>
    </w:p>
    <w:p w:rsidR="00BD0F78" w:rsidRPr="00863AEE" w:rsidRDefault="00D73EDE" w:rsidP="00BD0F78">
      <w:pPr>
        <w:jc w:val="center"/>
      </w:pPr>
      <w:bookmarkStart w:id="1" w:name="37255d71-e877-40c8-ad83-578a0557daa5"/>
      <w:r>
        <w:rPr>
          <w:rStyle w:val="Heading2Char"/>
        </w:rPr>
        <w:lastRenderedPageBreak/>
        <w:t>Section 1194.21 Software Applications and Operating Systems - Detail</w:t>
      </w:r>
      <w:bookmarkEnd w:id="1"/>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When software is designed to run on a system that has a keyboard, product functions shall be executable from a keyboard where the function itself or the result of performing a function can be discerned textually.</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205573186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E04C96">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 xml:space="preserve">Most of the site can be navigated by using the keyboard. </w:t>
            </w:r>
            <w:r w:rsidR="00E04C96">
              <w:rPr>
                <w:rFonts w:ascii="Segoe UI" w:hAnsi="Segoe UI" w:cs="Segoe UI"/>
                <w:sz w:val="18"/>
                <w:szCs w:val="20"/>
              </w:rPr>
              <w:t xml:space="preserve">But some </w:t>
            </w:r>
            <w:r w:rsidR="004A7FAC">
              <w:rPr>
                <w:rFonts w:ascii="Segoe UI" w:hAnsi="Segoe UI" w:cs="Segoe UI"/>
                <w:sz w:val="18"/>
                <w:szCs w:val="20"/>
              </w:rPr>
              <w:t>s</w:t>
            </w:r>
            <w:r w:rsidR="00E04C96" w:rsidRPr="00E04C96">
              <w:rPr>
                <w:rFonts w:ascii="Segoe UI" w:hAnsi="Segoe UI" w:cs="Segoe UI"/>
                <w:sz w:val="18"/>
                <w:szCs w:val="20"/>
              </w:rPr>
              <w:t>ections of the UI are either not able to be focused using the keyboard or show no indicator when they are focused</w:t>
            </w:r>
            <w:proofErr w:type="gramStart"/>
            <w:r w:rsidR="00E04C96" w:rsidRPr="00E04C96">
              <w:rPr>
                <w:rFonts w:ascii="Segoe UI" w:hAnsi="Segoe UI" w:cs="Segoe UI"/>
                <w:sz w:val="18"/>
                <w:szCs w:val="20"/>
              </w:rPr>
              <w:t>.</w:t>
            </w:r>
            <w:r>
              <w:rPr>
                <w:rFonts w:ascii="Segoe UI" w:hAnsi="Segoe UI" w:cs="Segoe UI"/>
                <w:sz w:val="18"/>
                <w:szCs w:val="20"/>
              </w:rPr>
              <w:t>.</w:t>
            </w:r>
            <w:proofErr w:type="gramEnd"/>
            <w:r>
              <w:rPr>
                <w:rFonts w:ascii="Segoe UI" w:hAnsi="Segoe UI" w:cs="Segoe UI"/>
                <w:sz w:val="18"/>
                <w:szCs w:val="20"/>
              </w:rPr>
              <w:t xml:space="preserve"> This service requires the use of a mouse.</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1348516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347129657"/>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4A7FAC">
                  <w:rPr>
                    <w:rFonts w:ascii="Segoe UI" w:hAnsi="Segoe UI" w:cs="Segoe UI"/>
                    <w:sz w:val="18"/>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4A7FAC"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Some s</w:t>
            </w:r>
            <w:r w:rsidRPr="00E04C96">
              <w:rPr>
                <w:rFonts w:ascii="Segoe UI" w:hAnsi="Segoe UI" w:cs="Segoe UI"/>
                <w:sz w:val="18"/>
                <w:szCs w:val="20"/>
              </w:rPr>
              <w:t>ections of the UI are either not able to be focused using the keyboard or show no indicator when they are focused</w:t>
            </w:r>
            <w:proofErr w:type="gramStart"/>
            <w:r w:rsidRPr="00E04C96">
              <w:rPr>
                <w:rFonts w:ascii="Segoe UI" w:hAnsi="Segoe UI" w:cs="Segoe UI"/>
                <w:sz w:val="18"/>
                <w:szCs w:val="20"/>
              </w:rPr>
              <w:t>.</w:t>
            </w:r>
            <w:r>
              <w:rPr>
                <w:rFonts w:ascii="Segoe UI" w:hAnsi="Segoe UI" w:cs="Segoe UI"/>
                <w:sz w:val="18"/>
                <w:szCs w:val="20"/>
              </w:rPr>
              <w:t>.</w:t>
            </w:r>
            <w:proofErr w:type="gramEnd"/>
            <w:r>
              <w:rPr>
                <w:rFonts w:ascii="Segoe UI" w:hAnsi="Segoe UI" w:cs="Segoe UI"/>
                <w:sz w:val="18"/>
                <w:szCs w:val="20"/>
              </w:rPr>
              <w:t xml:space="preserve"> This service requires the use of a mouse.</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3089779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(e) When bitmap images are used to identify controls, status indicators, or other programmatic elements, the meaning assigned to those images shall be consistent throughout an application's performance.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43104839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lastRenderedPageBreak/>
              <w:t>(f) Textual information shall be provided through operating system functions for displaying text. The minimum information that shall be made available is text content, text input caret location, and text attributes.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732763124"/>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(g) Applications shall not override user selected contrast and color selections and other individual display attributes.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2847940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High contrast is not supported in some parts of the site. Icons and process flows do not display correctly.</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(h) When animation is displayed, the information shall be displayable in at least one non-animated presentation mode at the option of the user.</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214962318"/>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w:t>
            </w:r>
            <w:proofErr w:type="spellStart"/>
            <w:r>
              <w:rPr>
                <w:rFonts w:ascii="Segoe UI" w:hAnsi="Segoe UI" w:cs="Segoe UI"/>
                <w:sz w:val="18"/>
                <w:szCs w:val="20"/>
              </w:rPr>
              <w:t>i</w:t>
            </w:r>
            <w:proofErr w:type="spellEnd"/>
            <w:r>
              <w:rPr>
                <w:rFonts w:ascii="Segoe UI" w:hAnsi="Segoe UI" w:cs="Segoe UI"/>
                <w:sz w:val="18"/>
                <w:szCs w:val="20"/>
              </w:rPr>
              <w:t>) Color coding shall not be used as the only means of conveying information, indicating an action, prompting a response, or distinguishing a visual element.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940831727"/>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(j) When a product permits a user to adjust color and contrast settings, a variety of color selections capable of producing a range of contrast levels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69103790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(k) Software shall not use flashing or blinking text, objects, or other elements having a flash or blink frequency greater than 2 Hz and lower than 55 Hz.</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23825126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53672601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bl>
    <w:p w:rsidR="007B18FC" w:rsidRDefault="007B18FC" w:rsidP="00BD0F78">
      <w:pPr>
        <w:jc w:val="center"/>
      </w:pPr>
    </w:p>
    <w:p w:rsidR="00D64FDA" w:rsidRDefault="00D64FDA" w:rsidP="00BD0F78">
      <w:pPr>
        <w:jc w:val="center"/>
        <w:sectPr w:rsidR="00D64FDA" w:rsidSect="004920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0" w:gutter="0"/>
          <w:cols w:space="720"/>
          <w:docGrid w:linePitch="360"/>
        </w:sectPr>
      </w:pPr>
    </w:p>
    <w:p w:rsidR="00BD0F78" w:rsidRPr="00863AEE" w:rsidRDefault="00D73EDE" w:rsidP="00BD0F78">
      <w:pPr>
        <w:jc w:val="center"/>
      </w:pPr>
      <w:bookmarkStart w:id="2" w:name="3801da6c-c2a3-45e0-9808-88698fdeec44"/>
      <w:r>
        <w:rPr>
          <w:rStyle w:val="Heading2Char"/>
        </w:rPr>
        <w:lastRenderedPageBreak/>
        <w:t>Section 1194.22 Web-based Internet information and applications – Detail</w:t>
      </w:r>
      <w:bookmarkEnd w:id="2"/>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A text equivalent for every non-text element shall be provided (e.g., via "alt", "</w:t>
            </w:r>
            <w:proofErr w:type="spellStart"/>
            <w:r>
              <w:rPr>
                <w:rFonts w:ascii="Segoe UI" w:hAnsi="Segoe UI" w:cs="Segoe UI"/>
                <w:sz w:val="18"/>
                <w:szCs w:val="20"/>
              </w:rPr>
              <w:t>longdesc</w:t>
            </w:r>
            <w:proofErr w:type="spellEnd"/>
            <w:r>
              <w:rPr>
                <w:rFonts w:ascii="Segoe UI" w:hAnsi="Segoe UI" w:cs="Segoe UI"/>
                <w:sz w:val="18"/>
                <w:szCs w:val="20"/>
              </w:rPr>
              <w:t>", or in element content).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90849184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Equivalent alternatives for any multimedia presentation shall be synchronized with the presentation.</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70528936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Web pages shall be designed so that all information conveyed with color is also available without color, for example from context or markup.</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21477870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Documents shall be organized so they are readable without requiring an associated style sheet.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374887262"/>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(e) Redundant text links shall be provided for each active region of a server-side image map.</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39775192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(f) Client-side image maps shall be provided instead of server-side image maps except where the regions cannot be defined with an available geometric shape.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975954372"/>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(g) Row and column headers shall be identified for data tables.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93134346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(h) Markup shall be used to associate data cells and header cells for data tables that have two or more logical levels of row or column headers.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892573647"/>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w:t>
            </w:r>
            <w:proofErr w:type="spellStart"/>
            <w:r>
              <w:rPr>
                <w:rFonts w:ascii="Segoe UI" w:hAnsi="Segoe UI" w:cs="Segoe UI"/>
                <w:sz w:val="18"/>
                <w:szCs w:val="20"/>
              </w:rPr>
              <w:t>i</w:t>
            </w:r>
            <w:proofErr w:type="spellEnd"/>
            <w:r>
              <w:rPr>
                <w:rFonts w:ascii="Segoe UI" w:hAnsi="Segoe UI" w:cs="Segoe UI"/>
                <w:sz w:val="18"/>
                <w:szCs w:val="20"/>
              </w:rPr>
              <w:t>) Frames shall be titled with text that facilitates frame identification and navigation</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97681718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(j) Pages shall be designed to avoid causing the screen to flicker with a frequency greater than 2 Hz and lower than 55 Hz.</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2054165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(k) A text-only page, with equivalent information or functionality, shall be provided to make a web site comply with the provisions of this part, when compliance cannot be accomplished in any other way. The content of the text-</w:t>
            </w:r>
            <w:r>
              <w:rPr>
                <w:rFonts w:ascii="Segoe UI" w:hAnsi="Segoe UI" w:cs="Segoe UI"/>
                <w:sz w:val="18"/>
                <w:szCs w:val="20"/>
              </w:rPr>
              <w:lastRenderedPageBreak/>
              <w:t>only page shall be updated whenever the primary page changes.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6439969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lastRenderedPageBreak/>
              <w:t>(l) When pages utilize scripting languages to display content, or to create interface elements, the information provided by the script shall be identified with functional text that can be read by Assistive Technology.</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13988572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67804836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11197514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(o) A method shall be provided that permits users to skip repetitive navigation links.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5350438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This site does not provide “link to content” links. The main page enables users to jump to specific services, but not to pages within those services.</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(p) When a timed response is required, the user shall be alerted and given sufficient time to indicate more time is required.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156919432"/>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bl>
    <w:p w:rsidR="007B18FC" w:rsidRDefault="007B18FC" w:rsidP="00BD0F78">
      <w:pPr>
        <w:jc w:val="center"/>
      </w:pPr>
    </w:p>
    <w:p w:rsidR="00D64FDA" w:rsidRDefault="00D64FDA" w:rsidP="00BD0F78">
      <w:pPr>
        <w:jc w:val="center"/>
        <w:sectPr w:rsidR="00D64FDA" w:rsidSect="004920D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360" w:gutter="0"/>
          <w:cols w:space="720"/>
          <w:docGrid w:linePitch="360"/>
        </w:sectPr>
      </w:pPr>
    </w:p>
    <w:p w:rsidR="00BD0F78" w:rsidRPr="00863AEE" w:rsidRDefault="00D73EDE" w:rsidP="00BD0F78">
      <w:pPr>
        <w:jc w:val="center"/>
      </w:pPr>
      <w:bookmarkStart w:id="3" w:name="19bfd9a7-969e-40fe-a926-5d44f4af68e3"/>
      <w:r>
        <w:rPr>
          <w:rStyle w:val="Heading2Char"/>
        </w:rPr>
        <w:lastRenderedPageBreak/>
        <w:t>Section 1194.23 Telecommunications Products – Detail</w:t>
      </w:r>
      <w:bookmarkEnd w:id="3"/>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200963508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Telecommunications products which include voice communication functionality shall support all commonly used cross-manufacturer non-proprietary standard TTY signal protocols.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405413207"/>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Voice mail, auto-attendant, and interactive voice response telecommunications systems shall be usable by TTY users with their TTYs.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6733292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66514094"/>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(e) Where provided, caller identification and similar telecommunications functions shall also be available for users of TTYs, and for users who cannot see displays.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86294180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(f) For transmitted voice signals, telecommunications products shall provide a gain adjustable up to a minimum of 20 </w:t>
            </w:r>
            <w:proofErr w:type="spellStart"/>
            <w:r>
              <w:rPr>
                <w:rFonts w:ascii="Segoe UI" w:hAnsi="Segoe UI" w:cs="Segoe UI"/>
                <w:sz w:val="18"/>
                <w:szCs w:val="20"/>
              </w:rPr>
              <w:t>dB.</w:t>
            </w:r>
            <w:proofErr w:type="spellEnd"/>
            <w:r>
              <w:rPr>
                <w:rFonts w:ascii="Segoe UI" w:hAnsi="Segoe UI" w:cs="Segoe UI"/>
                <w:sz w:val="18"/>
                <w:szCs w:val="20"/>
              </w:rPr>
              <w:t xml:space="preserve"> For incremental volume control, at least one intermediate step of 12 dB of gain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485038857"/>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(g) If the telecommunications product allows a user to adjust the receive volume, a function shall be provided to </w:t>
            </w:r>
            <w:r>
              <w:rPr>
                <w:rFonts w:ascii="Segoe UI" w:hAnsi="Segoe UI" w:cs="Segoe UI"/>
                <w:sz w:val="18"/>
                <w:szCs w:val="20"/>
              </w:rPr>
              <w:lastRenderedPageBreak/>
              <w:t>automatically reset the volume to the default level after every use.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38093935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lastRenderedPageBreak/>
              <w:t>(h) Where a telecommunications product delivers output by an audio transducer which is normally held up to the ear, a means for effective magnetic wireless coupling to hearing technologies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79621491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w:t>
            </w:r>
            <w:proofErr w:type="spellStart"/>
            <w:r>
              <w:rPr>
                <w:rFonts w:ascii="Segoe UI" w:hAnsi="Segoe UI" w:cs="Segoe UI"/>
                <w:sz w:val="18"/>
                <w:szCs w:val="20"/>
              </w:rPr>
              <w:t>i</w:t>
            </w:r>
            <w:proofErr w:type="spellEnd"/>
            <w:r>
              <w:rPr>
                <w:rFonts w:ascii="Segoe UI" w:hAnsi="Segoe UI" w:cs="Segoe UI"/>
                <w:sz w:val="18"/>
                <w:szCs w:val="20"/>
              </w:rPr>
              <w:t>) Interference to hearing technologies (including hearing aids, cochlear implants, and assistive listening devices) shall be reduced to the lowest possible level that allows a user of hearing technologies to utilize the telecommunications product.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06360524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63825294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(k)(1) Products which have mechanically operated controls or keys shall comply with the following: Controls and Keys shall be tactilely discernible without activating the controls or keys.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206884224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494922328"/>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(k)(3) Products which have mechanically operated controls or keys shall comply with the following: If key repeat is supported, the delay before repeat shall be adjustable to at least 2 seconds. Key </w:t>
            </w:r>
            <w:r>
              <w:rPr>
                <w:rFonts w:ascii="Segoe UI" w:hAnsi="Segoe UI" w:cs="Segoe UI"/>
                <w:sz w:val="18"/>
                <w:szCs w:val="20"/>
              </w:rPr>
              <w:lastRenderedPageBreak/>
              <w:t>repeat rate shall be adjustable to 2 seconds per character.</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51930614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lastRenderedPageBreak/>
              <w:t>(k)(4) Products which have mechanically operated controls or keys shall comply with the following: The status of all locking or toggle controls or keys shall be visually discernible, and discernible either through touch or sound.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976959372"/>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bl>
    <w:p w:rsidR="007B18FC" w:rsidRDefault="007B18FC" w:rsidP="00BD0F78">
      <w:pPr>
        <w:jc w:val="center"/>
      </w:pPr>
    </w:p>
    <w:p w:rsidR="00D64FDA" w:rsidRDefault="00D64FDA" w:rsidP="00BD0F78">
      <w:pPr>
        <w:jc w:val="center"/>
        <w:sectPr w:rsidR="00D64FDA" w:rsidSect="004920D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360" w:gutter="0"/>
          <w:cols w:space="720"/>
          <w:docGrid w:linePitch="360"/>
        </w:sectPr>
      </w:pPr>
    </w:p>
    <w:p w:rsidR="00BD0F78" w:rsidRPr="00863AEE" w:rsidRDefault="00D73EDE" w:rsidP="00BD0F78">
      <w:pPr>
        <w:jc w:val="center"/>
      </w:pPr>
      <w:bookmarkStart w:id="4" w:name="3fb4902e-5f68-41f0-be28-5a61c1a8f151"/>
      <w:r>
        <w:rPr>
          <w:rStyle w:val="Heading2Char"/>
        </w:rPr>
        <w:lastRenderedPageBreak/>
        <w:t>Section 1194.24 Video and Multi-media Products – Detail</w:t>
      </w:r>
      <w:bookmarkEnd w:id="4"/>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84945067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Television tuners, including tuner cards for use in computers, shall be equipped with secondary audio program playback circuitry.</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479140957"/>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778570982"/>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All training and informational video and multimedia productions which support the agency's mission, regardless of format, that contain visual information necessary for the comprehension of the content, shall be audio described.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9195199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(e) Display or presentation of alternate text presentation or audio descriptions </w:t>
            </w:r>
            <w:r>
              <w:rPr>
                <w:rFonts w:ascii="Segoe UI" w:hAnsi="Segoe UI" w:cs="Segoe UI"/>
                <w:sz w:val="18"/>
                <w:szCs w:val="20"/>
              </w:rPr>
              <w:lastRenderedPageBreak/>
              <w:t>shall be user-selectable unless permanent.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54032168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bl>
    <w:p w:rsidR="007B18FC" w:rsidRDefault="007B18FC" w:rsidP="00BD0F78">
      <w:pPr>
        <w:jc w:val="center"/>
      </w:pPr>
    </w:p>
    <w:p w:rsidR="00D64FDA" w:rsidRDefault="00D64FDA" w:rsidP="00BD0F78">
      <w:pPr>
        <w:jc w:val="center"/>
        <w:sectPr w:rsidR="00D64FDA" w:rsidSect="004920D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360" w:gutter="0"/>
          <w:cols w:space="720"/>
          <w:docGrid w:linePitch="360"/>
        </w:sectPr>
      </w:pPr>
    </w:p>
    <w:p w:rsidR="00BD0F78" w:rsidRPr="00863AEE" w:rsidRDefault="00D73EDE" w:rsidP="00BD0F78">
      <w:pPr>
        <w:jc w:val="center"/>
      </w:pPr>
      <w:bookmarkStart w:id="5" w:name="3733a7b2-78db-4f69-aaa7-af513b895335"/>
      <w:r>
        <w:rPr>
          <w:rStyle w:val="Heading2Char"/>
        </w:rPr>
        <w:lastRenderedPageBreak/>
        <w:t>Section 1194.25 Self-Contained, Closed Products – Detail</w:t>
      </w:r>
      <w:bookmarkEnd w:id="5"/>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(a) </w:t>
            </w:r>
            <w:proofErr w:type="spellStart"/>
            <w:r>
              <w:rPr>
                <w:rFonts w:ascii="Segoe UI" w:hAnsi="Segoe UI" w:cs="Segoe UI"/>
                <w:sz w:val="18"/>
                <w:szCs w:val="20"/>
              </w:rPr>
              <w:t>Self contained</w:t>
            </w:r>
            <w:proofErr w:type="spellEnd"/>
            <w:r>
              <w:rPr>
                <w:rFonts w:ascii="Segoe UI" w:hAnsi="Segoe UI" w:cs="Segoe UI"/>
                <w:sz w:val="18"/>
                <w:szCs w:val="20"/>
              </w:rPr>
              <w:t xml:space="preserve"> products shall be usable by people with disabilities without requiring an end-user to attach Assistive Technology to the product. Personal headsets for private listening are not Assistive Technology.</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80986715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When a timed response is required, the user shall be alerted and given sufficient time to indicate more time is required.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526426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Where a product utilizes touchscreens or contact-sensitive controls, an input method shall be provided that complies with §1194.23 (k) (1) through (4).</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09077040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When biometric forms of user identification or control are used, an alternative form of identification or activation, which does not require the user to possess particular biological characteristics, shall also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40460096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Pr>
                <w:rFonts w:ascii="Segoe UI" w:hAnsi="Segoe UI" w:cs="Segoe UI"/>
                <w:sz w:val="18"/>
                <w:szCs w:val="20"/>
              </w:rPr>
              <w:t>anytime</w:t>
            </w:r>
            <w:proofErr w:type="spellEnd"/>
            <w:r>
              <w:rPr>
                <w:rFonts w:ascii="Segoe UI" w:hAnsi="Segoe UI" w:cs="Segoe UI"/>
                <w:sz w:val="18"/>
                <w:szCs w:val="20"/>
              </w:rPr>
              <w: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68601813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(f) When products deliver voice output in a public area, incremental volume control shall be provided with output amplification up to a level of at least 65 </w:t>
            </w:r>
            <w:proofErr w:type="spellStart"/>
            <w:r>
              <w:rPr>
                <w:rFonts w:ascii="Segoe UI" w:hAnsi="Segoe UI" w:cs="Segoe UI"/>
                <w:sz w:val="18"/>
                <w:szCs w:val="20"/>
              </w:rPr>
              <w:t>dB.</w:t>
            </w:r>
            <w:proofErr w:type="spellEnd"/>
            <w:r>
              <w:rPr>
                <w:rFonts w:ascii="Segoe UI" w:hAnsi="Segoe UI" w:cs="Segoe UI"/>
                <w:sz w:val="18"/>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76834478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(g) Color coding shall not be used as the only means of conveying information, indicating an action, prompting a </w:t>
            </w:r>
            <w:r>
              <w:rPr>
                <w:rFonts w:ascii="Segoe UI" w:hAnsi="Segoe UI" w:cs="Segoe UI"/>
                <w:sz w:val="18"/>
                <w:szCs w:val="20"/>
              </w:rPr>
              <w:lastRenderedPageBreak/>
              <w:t>response, or distinguishing a visual element.</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64029919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lastRenderedPageBreak/>
              <w:t>(h) When a product permits a user to adjust color and contrast settings, a range of color selections capable of producing a variety of contrast levels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96685251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w:t>
            </w:r>
            <w:proofErr w:type="spellStart"/>
            <w:r>
              <w:rPr>
                <w:rFonts w:ascii="Segoe UI" w:hAnsi="Segoe UI" w:cs="Segoe UI"/>
                <w:sz w:val="18"/>
                <w:szCs w:val="20"/>
              </w:rPr>
              <w:t>i</w:t>
            </w:r>
            <w:proofErr w:type="spellEnd"/>
            <w:r>
              <w:rPr>
                <w:rFonts w:ascii="Segoe UI" w:hAnsi="Segoe UI" w:cs="Segoe UI"/>
                <w:sz w:val="18"/>
                <w:szCs w:val="20"/>
              </w:rPr>
              <w:t>) Products shall be designed to avoid causing the screen to flicker with a frequency greater than 2 Hz and lower than 55 Hz.</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52468871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20216438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10353126"/>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45879118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 xml:space="preserve">(j)(4) Products which are freestanding, non-portable, and intended to be used in one location and which have operable controls shall comply with the following: </w:t>
            </w:r>
            <w:r>
              <w:rPr>
                <w:rFonts w:ascii="Segoe UI" w:hAnsi="Segoe UI" w:cs="Segoe UI"/>
                <w:sz w:val="18"/>
                <w:szCs w:val="20"/>
              </w:rPr>
              <w:lastRenderedPageBreak/>
              <w:t>Operable controls shall not be more than 24 inches behind the reference plane.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044408682"/>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bl>
    <w:p w:rsidR="007B18FC" w:rsidRDefault="007B18FC" w:rsidP="00BD0F78">
      <w:pPr>
        <w:jc w:val="center"/>
      </w:pPr>
    </w:p>
    <w:p w:rsidR="00D64FDA" w:rsidRDefault="00D64FDA" w:rsidP="00BD0F78">
      <w:pPr>
        <w:jc w:val="center"/>
        <w:sectPr w:rsidR="00D64FDA" w:rsidSect="004920DF">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360" w:gutter="0"/>
          <w:cols w:space="720"/>
          <w:docGrid w:linePitch="360"/>
        </w:sectPr>
      </w:pPr>
    </w:p>
    <w:p w:rsidR="00BD0F78" w:rsidRPr="00863AEE" w:rsidRDefault="00D73EDE" w:rsidP="00BD0F78">
      <w:pPr>
        <w:jc w:val="center"/>
      </w:pPr>
      <w:bookmarkStart w:id="6" w:name="e8cadbb4-eb2a-4fe6-9f3a-82e5bb5935bc"/>
      <w:r>
        <w:rPr>
          <w:rStyle w:val="Heading2Char"/>
        </w:rPr>
        <w:lastRenderedPageBreak/>
        <w:t>Section 1194.26 Desktop and Portable Computers – Detail</w:t>
      </w:r>
      <w:bookmarkEnd w:id="6"/>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All mechanically operated controls and keys shall comply with §1194.23 (k) (1) through (4).</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06214623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If a product utilizes touchscreens or touch-operated controls, an input method shall be provided that complies with §1194.23 (k) (1) through (4).</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772754024"/>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When biometric forms of user identification or control are used, an alternative form of identification or activation, which does not require the user to possess particular biological characteristics, shall also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78680580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Where provided, at least one of each type of expansion slots, ports and connectors shall comply with publicly available industry standards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2020730990"/>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p>
        </w:tc>
      </w:tr>
    </w:tbl>
    <w:p w:rsidR="007B18FC" w:rsidRDefault="007B18FC" w:rsidP="00BD0F78">
      <w:pPr>
        <w:jc w:val="center"/>
      </w:pPr>
    </w:p>
    <w:p w:rsidR="00D64FDA" w:rsidRDefault="00D64FDA" w:rsidP="00BD0F78">
      <w:pPr>
        <w:jc w:val="center"/>
        <w:sectPr w:rsidR="00D64FDA" w:rsidSect="004920DF">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360" w:gutter="0"/>
          <w:cols w:space="720"/>
          <w:docGrid w:linePitch="360"/>
        </w:sectPr>
      </w:pPr>
    </w:p>
    <w:p w:rsidR="00BD0F78" w:rsidRPr="00863AEE" w:rsidRDefault="00D73EDE" w:rsidP="00BD0F78">
      <w:pPr>
        <w:jc w:val="center"/>
      </w:pPr>
      <w:bookmarkStart w:id="7" w:name="552da994-ec81-4ebb-9ad9-38629d65a523"/>
      <w:r>
        <w:rPr>
          <w:rStyle w:val="Heading2Char"/>
        </w:rPr>
        <w:lastRenderedPageBreak/>
        <w:t>Section 1194.31 Functional Performance Criteria – Detail</w:t>
      </w:r>
      <w:bookmarkEnd w:id="7"/>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At least one mode of operation and information retrieval that does not require user vision shall be provided, or support for Assistive Technology used by people who are blind or visually impaired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676264838"/>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 xml:space="preserve">For details see criteria: 1194.21 a, b, c, d, e, f, h, </w:t>
            </w:r>
            <w:proofErr w:type="spellStart"/>
            <w:r>
              <w:rPr>
                <w:rFonts w:ascii="Segoe UI" w:hAnsi="Segoe UI" w:cs="Segoe UI"/>
                <w:sz w:val="18"/>
                <w:szCs w:val="20"/>
              </w:rPr>
              <w:t>i</w:t>
            </w:r>
            <w:proofErr w:type="spellEnd"/>
            <w:r>
              <w:rPr>
                <w:rFonts w:ascii="Segoe UI" w:hAnsi="Segoe UI" w:cs="Segoe UI"/>
                <w:sz w:val="18"/>
                <w:szCs w:val="20"/>
              </w:rPr>
              <w:t>, l ; 1194.22 all; 1194.23 k1, k4 ; 1194.24 d ; 1194.25 a, b, c, e, f, g ; 1194.26 b, d</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2277300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r>
              <w:rPr>
                <w:rFonts w:ascii="Segoe UI" w:hAnsi="Segoe UI" w:cs="Segoe UI"/>
                <w:sz w:val="18"/>
                <w:szCs w:val="20"/>
              </w:rPr>
              <w:t xml:space="preserve">For details see criteria: 1194.21 c, g, </w:t>
            </w:r>
            <w:proofErr w:type="spellStart"/>
            <w:r>
              <w:rPr>
                <w:rFonts w:ascii="Segoe UI" w:hAnsi="Segoe UI" w:cs="Segoe UI"/>
                <w:sz w:val="18"/>
                <w:szCs w:val="20"/>
              </w:rPr>
              <w:t>i</w:t>
            </w:r>
            <w:proofErr w:type="spellEnd"/>
            <w:r>
              <w:rPr>
                <w:rFonts w:ascii="Segoe UI" w:hAnsi="Segoe UI" w:cs="Segoe UI"/>
                <w:sz w:val="18"/>
                <w:szCs w:val="20"/>
              </w:rPr>
              <w:t>, j, l; 1194.22 n; 1194.25 h</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At least one mode of operation and information retrieval that does not require user hearing shall be provided, or support for Assistive Technology used by people who are deaf or hard of hearing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261835355"/>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 with exceptions</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 xml:space="preserve">For details see criteria: 1194.22 b, m ; 1194.23 h, </w:t>
            </w:r>
            <w:proofErr w:type="spellStart"/>
            <w:r>
              <w:rPr>
                <w:rFonts w:ascii="Segoe UI" w:hAnsi="Segoe UI" w:cs="Segoe UI"/>
                <w:sz w:val="18"/>
                <w:szCs w:val="20"/>
              </w:rPr>
              <w:t>i</w:t>
            </w:r>
            <w:proofErr w:type="spellEnd"/>
            <w:r>
              <w:rPr>
                <w:rFonts w:ascii="Segoe UI" w:hAnsi="Segoe UI" w:cs="Segoe UI"/>
                <w:sz w:val="18"/>
                <w:szCs w:val="20"/>
              </w:rPr>
              <w:t xml:space="preserve"> ; 1194.24 c ; 1194.25 e, f</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1872762503"/>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r>
              <w:rPr>
                <w:rFonts w:ascii="Segoe UI" w:hAnsi="Segoe UI" w:cs="Segoe UI"/>
                <w:sz w:val="18"/>
                <w:szCs w:val="20"/>
              </w:rPr>
              <w:t xml:space="preserve">For details see criteria: 1194.23 h, </w:t>
            </w:r>
            <w:proofErr w:type="spellStart"/>
            <w:r>
              <w:rPr>
                <w:rFonts w:ascii="Segoe UI" w:hAnsi="Segoe UI" w:cs="Segoe UI"/>
                <w:sz w:val="18"/>
                <w:szCs w:val="20"/>
              </w:rPr>
              <w:t>i</w:t>
            </w:r>
            <w:proofErr w:type="spellEnd"/>
            <w:r>
              <w:rPr>
                <w:rFonts w:ascii="Segoe UI" w:hAnsi="Segoe UI" w:cs="Segoe UI"/>
                <w:sz w:val="18"/>
                <w:szCs w:val="20"/>
              </w:rPr>
              <w:t>; 1194.25 e, f</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(e) At least one mode of operation and information retrieval that does not require user speech shall be provided, or support for Assistive Technology used by people with disabilities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550657618"/>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Not applicable</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BD0F78"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(f) At least one mode of operation and information retrieval that does not require fine motor control or simultaneous actions and that is operable with limited reach and strength shall be provided.</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692535959"/>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r>
              <w:rPr>
                <w:rFonts w:ascii="Segoe UI" w:hAnsi="Segoe UI" w:cs="Segoe UI"/>
                <w:sz w:val="18"/>
                <w:szCs w:val="20"/>
              </w:rPr>
              <w:t>For details see criteria: 1194.21a, b; 1194.22 p; 1194.23 d, k1, k2, k3; 1194.25 b, j</w:t>
            </w:r>
          </w:p>
        </w:tc>
      </w:tr>
    </w:tbl>
    <w:p w:rsidR="007B18FC" w:rsidRDefault="007B18FC" w:rsidP="00BD0F78">
      <w:pPr>
        <w:jc w:val="center"/>
      </w:pPr>
    </w:p>
    <w:p w:rsidR="00D64FDA" w:rsidRDefault="00D64FDA" w:rsidP="00BD0F78">
      <w:pPr>
        <w:jc w:val="center"/>
        <w:sectPr w:rsidR="00D64FDA" w:rsidSect="004920DF">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360" w:gutter="0"/>
          <w:cols w:space="720"/>
          <w:docGrid w:linePitch="360"/>
        </w:sectPr>
      </w:pPr>
    </w:p>
    <w:p w:rsidR="00BD0F78" w:rsidRPr="00863AEE" w:rsidRDefault="00D73EDE" w:rsidP="00BD0F78">
      <w:pPr>
        <w:jc w:val="center"/>
      </w:pPr>
      <w:bookmarkStart w:id="8" w:name="987eb0a8-efa4-41ca-9036-fb7e3bf800eb"/>
      <w:r>
        <w:rPr>
          <w:rStyle w:val="Heading2Char"/>
        </w:rPr>
        <w:lastRenderedPageBreak/>
        <w:t>Section 1194.41 Information, Documentation and Support – Detail</w:t>
      </w:r>
      <w:bookmarkEnd w:id="8"/>
    </w:p>
    <w:tbl>
      <w:tblPr>
        <w:tblStyle w:val="MediumShading1-Accent1"/>
        <w:tblW w:w="9918" w:type="dxa"/>
        <w:tblBorders>
          <w:insideV w:val="single" w:sz="8" w:space="0" w:color="7BA0CD" w:themeColor="accent1" w:themeTint="BF"/>
        </w:tblBorders>
        <w:tblLook w:val="04A0" w:firstRow="1" w:lastRow="0" w:firstColumn="1" w:lastColumn="0" w:noHBand="0" w:noVBand="1"/>
      </w:tblPr>
      <w:tblGrid>
        <w:gridCol w:w="3438"/>
        <w:gridCol w:w="3150"/>
        <w:gridCol w:w="3330"/>
      </w:tblGrid>
      <w:tr w:rsidR="00BD0F78" w:rsidRPr="00A8305C" w:rsidTr="0047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shd w:val="clear" w:color="auto" w:fill="365F91" w:themeFill="accent1" w:themeFillShade="BF"/>
            <w:hideMark/>
          </w:tcPr>
          <w:p w:rsidR="00BD0F78" w:rsidRPr="00505E9C" w:rsidRDefault="00BD0F78" w:rsidP="00473EBE">
            <w:pPr>
              <w:pStyle w:val="NoSpacing"/>
              <w:rPr>
                <w:rFonts w:ascii="Segoe UI" w:hAnsi="Segoe UI" w:cs="Segoe UI"/>
                <w:sz w:val="20"/>
                <w:szCs w:val="20"/>
                <w:lang w:eastAsia="ja-JP"/>
              </w:rPr>
            </w:pPr>
            <w:r>
              <w:rPr>
                <w:rFonts w:ascii="Segoe UI" w:hAnsi="Segoe UI" w:cs="Segoe UI"/>
                <w:sz w:val="20"/>
                <w:szCs w:val="20"/>
              </w:rPr>
              <w:t>Criteria</w:t>
            </w:r>
          </w:p>
        </w:tc>
        <w:tc>
          <w:tcPr>
            <w:tcW w:w="315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Supporting Feature</w:t>
            </w:r>
          </w:p>
        </w:tc>
        <w:tc>
          <w:tcPr>
            <w:tcW w:w="3330" w:type="dxa"/>
            <w:tcBorders>
              <w:bottom w:val="nil"/>
            </w:tcBorders>
            <w:shd w:val="clear" w:color="auto" w:fill="365F91" w:themeFill="accent1" w:themeFillShade="BF"/>
            <w:hideMark/>
          </w:tcPr>
          <w:p w:rsidR="00BD0F78" w:rsidRPr="00505E9C" w:rsidRDefault="00BD0F78" w:rsidP="00473EBE">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ja-JP"/>
              </w:rPr>
            </w:pPr>
            <w:r>
              <w:rPr>
                <w:rFonts w:ascii="Segoe UI" w:hAnsi="Segoe UI" w:cs="Segoe UI"/>
                <w:sz w:val="20"/>
                <w:szCs w:val="20"/>
              </w:rPr>
              <w:t>Remarks and Explanations</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(a) Product support documentation provided to end-users shall be made available in alternate formats upon request, at no additional charge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36564339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Microsoft can produce alternative format of documentation for customer upon request.</w:t>
            </w:r>
          </w:p>
        </w:tc>
      </w:tr>
      <w:tr w:rsidR="00BD0F78" w:rsidRPr="00A8305C" w:rsidTr="0047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(b) End-users shall have access to a description of the accessibility and compatibility features of products in alternate formats or alternate methods upon request, at no additional charge.</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sdt>
              <w:sdtPr>
                <w:rPr>
                  <w:rFonts w:ascii="Segoe UI" w:hAnsi="Segoe UI" w:cs="Segoe UI"/>
                  <w:sz w:val="18"/>
                  <w:szCs w:val="20"/>
                </w:rPr>
                <w:id w:val="413748701"/>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20"/>
              </w:rPr>
            </w:pPr>
            <w:r>
              <w:rPr>
                <w:rFonts w:ascii="Segoe UI" w:hAnsi="Segoe UI" w:cs="Segoe UI"/>
                <w:sz w:val="18"/>
                <w:szCs w:val="20"/>
              </w:rPr>
              <w:t>Microsoft can produce alternative format of documentation for customer upon request.</w:t>
            </w:r>
          </w:p>
        </w:tc>
      </w:tr>
      <w:tr w:rsidR="00BD0F78" w:rsidRPr="00A8305C" w:rsidTr="0047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rPr>
                <w:rFonts w:ascii="Segoe UI" w:hAnsi="Segoe UI" w:cs="Segoe UI"/>
                <w:sz w:val="18"/>
                <w:szCs w:val="20"/>
                <w:lang w:eastAsia="ja-JP"/>
              </w:rPr>
            </w:pPr>
            <w:r>
              <w:rPr>
                <w:rFonts w:ascii="Segoe UI" w:hAnsi="Segoe UI" w:cs="Segoe UI"/>
                <w:sz w:val="18"/>
                <w:szCs w:val="20"/>
              </w:rPr>
              <w:t>(c) Support services for products shall accommodate the communication needs of end-users with disabilities.</w:t>
            </w:r>
          </w:p>
        </w:tc>
        <w:tc>
          <w:tcPr>
            <w:tcW w:w="315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5806AE" w:rsidP="009C2342">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sdt>
              <w:sdtPr>
                <w:rPr>
                  <w:rFonts w:ascii="Segoe UI" w:hAnsi="Segoe UI" w:cs="Segoe UI"/>
                  <w:sz w:val="18"/>
                  <w:szCs w:val="20"/>
                </w:rPr>
                <w:id w:val="1596824294"/>
                <w:dropDownList>
                  <w:listItem w:displayText="Choose an item" w:value="Choose an item"/>
                  <w:listItem w:displayText="Not supported" w:value="Not supported"/>
                  <w:listItem w:displayText="Supported with exceptions" w:value="Supported with exceptions"/>
                  <w:listItem w:displayText="Supported" w:value="Supported"/>
                  <w:listItem w:displayText="Not applicable" w:value="Not applicable"/>
                </w:dropDownList>
              </w:sdtPr>
              <w:sdtEndPr/>
              <w:sdtContent>
                <w:r w:rsidR="00D73EDE">
                  <w:rPr>
                    <w:sz w:val="20"/>
                    <w:szCs w:val="20"/>
                  </w:rPr>
                  <w:t>Supported</w:t>
                </w:r>
              </w:sdtContent>
            </w:sdt>
            <w:r w:rsidR="009C2342">
              <w:rPr>
                <w:rFonts w:ascii="Segoe UI" w:hAnsi="Segoe UI" w:cs="Segoe UI"/>
                <w:sz w:val="18"/>
                <w:szCs w:val="20"/>
              </w:rPr>
              <w:t xml:space="preserve"> </w:t>
            </w:r>
          </w:p>
        </w:tc>
        <w:tc>
          <w:tcPr>
            <w:tcW w:w="3330" w:type="dxa"/>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hideMark/>
          </w:tcPr>
          <w:p w:rsidR="00BD0F78" w:rsidRPr="00505E9C" w:rsidRDefault="00D73EDE" w:rsidP="00473EBE">
            <w:pPr>
              <w:pStyle w:val="NoSpacing"/>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20"/>
              </w:rPr>
            </w:pPr>
            <w:r>
              <w:rPr>
                <w:rFonts w:ascii="Segoe UI" w:hAnsi="Segoe UI" w:cs="Segoe UI"/>
                <w:sz w:val="18"/>
                <w:szCs w:val="20"/>
              </w:rPr>
              <w:t>The Microsoft Product Support Services Help Desk is familiar with such features as keyboard access and other options important to people with disabilities.</w:t>
            </w:r>
            <w:r>
              <w:rPr>
                <w:rFonts w:ascii="Segoe UI" w:hAnsi="Segoe UI" w:cs="Segoe UI"/>
                <w:sz w:val="18"/>
                <w:szCs w:val="20"/>
              </w:rPr>
              <w:br/>
              <w:t xml:space="preserve">Microsoft offers a teletypewriter (TTY) service for customers who are deaf or hard of hearing. For assistance in the United States, contact Microsoft Technical Support on a TTY at 1-800-892-5234. This service is available Monday through Friday 6:00 A.M. to 6:00 P.M. PST. </w:t>
            </w:r>
            <w:r>
              <w:rPr>
                <w:rFonts w:ascii="Segoe UI" w:hAnsi="Segoe UI" w:cs="Segoe UI"/>
                <w:sz w:val="18"/>
                <w:szCs w:val="20"/>
              </w:rPr>
              <w:br/>
              <w:t>For information on additional support services, visit the Microsoft Accessibility Web site at http://www.microsoft.com/enable</w:t>
            </w:r>
          </w:p>
        </w:tc>
      </w:tr>
    </w:tbl>
    <w:p w:rsidR="007B18FC" w:rsidRDefault="007B18FC" w:rsidP="00BD0F78">
      <w:pPr>
        <w:jc w:val="center"/>
      </w:pPr>
    </w:p>
    <w:p w:rsidR="007B18FC" w:rsidRDefault="007B18FC" w:rsidP="007B18FC">
      <w:pPr>
        <w:pBdr>
          <w:bottom w:val="single" w:sz="6" w:space="1" w:color="auto"/>
        </w:pBdr>
      </w:pPr>
      <w:r w:rsidRPr="007B18FC">
        <w:t xml:space="preserve"> </w:t>
      </w:r>
    </w:p>
    <w:p w:rsidR="007B18FC" w:rsidRDefault="007B18FC" w:rsidP="007B18FC">
      <w:r>
        <w:t>This document is for informational purposes only. MICROSOFT MAKES NO WARRANTIES, EXPRESS OR IMPLIED, IN THIS DOCUMENT.</w:t>
      </w:r>
    </w:p>
    <w:p w:rsidR="007B18FC" w:rsidRDefault="007B18FC" w:rsidP="007B18FC">
      <w:r>
        <w:t>©</w:t>
      </w:r>
      <w:r>
        <w:rPr>
          <w:rFonts w:eastAsia="Calibri"/>
        </w:rPr>
        <w:t>2013</w:t>
      </w:r>
      <w:r>
        <w:t xml:space="preserve"> Microsoft Corporation. All rights reserved. The names of actual companies and products mentioned herein may be the trademarks of their respective owners. The information contained in this document represents the current view of Microsoft Corporation </w:t>
      </w:r>
      <w:r>
        <w:lastRenderedPageBreak/>
        <w:t xml:space="preserve">on the issues discussed as of the date of publication. Microsoft cannot guarantee the accuracy of any information presented after the date of publication. </w:t>
      </w:r>
    </w:p>
    <w:p w:rsidR="007B18FC" w:rsidRDefault="007B18FC" w:rsidP="007B18FC">
      <w:r>
        <w:t xml:space="preserve">Revised: </w:t>
      </w:r>
      <w:r w:rsidR="006920C6">
        <w:rPr>
          <w:rFonts w:eastAsia="Calibri"/>
        </w:rPr>
        <w:t>Dec</w:t>
      </w:r>
      <w:r>
        <w:rPr>
          <w:rFonts w:eastAsia="Calibri"/>
        </w:rPr>
        <w:t xml:space="preserve"> </w:t>
      </w:r>
      <w:r w:rsidR="006920C6">
        <w:rPr>
          <w:rFonts w:eastAsia="Calibri"/>
        </w:rPr>
        <w:t>1</w:t>
      </w:r>
      <w:r>
        <w:rPr>
          <w:rFonts w:eastAsia="Calibri"/>
        </w:rPr>
        <w:t xml:space="preserve">, </w:t>
      </w:r>
      <w:r w:rsidR="006920C6">
        <w:rPr>
          <w:rFonts w:eastAsia="Calibri"/>
        </w:rPr>
        <w:t>2014</w:t>
      </w:r>
    </w:p>
    <w:p w:rsidR="007B18FC" w:rsidRPr="00673CCA" w:rsidRDefault="007B18FC" w:rsidP="007B18FC">
      <w:pPr>
        <w:rPr>
          <w:rStyle w:val="FollowedHyperlink"/>
        </w:rPr>
      </w:pPr>
      <w:r>
        <w:t>Microsoft regularly updates its websites and provides new information about the accessibility of products as that information becomes available.</w:t>
      </w:r>
    </w:p>
    <w:sectPr w:rsidR="007B18FC" w:rsidRPr="00673CCA" w:rsidSect="004920DF">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F4" w:rsidRDefault="000A1BF4" w:rsidP="004920DF">
      <w:pPr>
        <w:spacing w:before="0" w:after="0" w:line="240" w:lineRule="auto"/>
      </w:pPr>
      <w:r>
        <w:separator/>
      </w:r>
    </w:p>
  </w:endnote>
  <w:endnote w:type="continuationSeparator" w:id="0">
    <w:p w:rsidR="000A1BF4" w:rsidRDefault="000A1BF4" w:rsidP="004920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1888601014"/>
        <w:docPartObj>
          <w:docPartGallery w:val="Page Numbers (Bottom of Page)"/>
          <w:docPartUnique/>
        </w:docPartObj>
      </w:sdtPr>
      <w:sdtEndPr/>
      <w:sdtContent>
        <w:sdt>
          <w:sdtPr>
            <w:id w:val="-1705238520"/>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1</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641013158"/>
        <w:docPartObj>
          <w:docPartGallery w:val="Page Numbers (Bottom of Page)"/>
          <w:docPartUnique/>
        </w:docPartObj>
      </w:sdtPr>
      <w:sdtEndPr/>
      <w:sdtContent>
        <w:sdt>
          <w:sdtPr>
            <w:id w:val="-1298835911"/>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8</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1074503420"/>
        <w:docPartObj>
          <w:docPartGallery w:val="Page Numbers (Bottom of Page)"/>
          <w:docPartUnique/>
        </w:docPartObj>
      </w:sdtPr>
      <w:sdtEndPr/>
      <w:sdtContent>
        <w:sdt>
          <w:sdtPr>
            <w:id w:val="1347208467"/>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10</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2100130338"/>
        <w:docPartObj>
          <w:docPartGallery w:val="Page Numbers (Bottom of Page)"/>
          <w:docPartUnique/>
        </w:docPartObj>
      </w:sdtPr>
      <w:sdtEndPr/>
      <w:sdtContent>
        <w:sdt>
          <w:sdtPr>
            <w:id w:val="880681971"/>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11</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2090111961"/>
        <w:docPartObj>
          <w:docPartGallery w:val="Page Numbers (Bottom of Page)"/>
          <w:docPartUnique/>
        </w:docPartObj>
      </w:sdtPr>
      <w:sdtEndPr/>
      <w:sdtContent>
        <w:sdt>
          <w:sdtPr>
            <w:id w:val="-992875004"/>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13</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566109230"/>
        <w:docPartObj>
          <w:docPartGallery w:val="Page Numbers (Bottom of Page)"/>
          <w:docPartUnique/>
        </w:docPartObj>
      </w:sdtPr>
      <w:sdtEndPr/>
      <w:sdtContent>
        <w:sdt>
          <w:sdtPr>
            <w:id w:val="1884514676"/>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3</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1151718560"/>
        <w:docPartObj>
          <w:docPartGallery w:val="Page Numbers (Bottom of Page)"/>
          <w:docPartUnique/>
        </w:docPartObj>
      </w:sdtPr>
      <w:sdtEndPr/>
      <w:sdtContent>
        <w:sdt>
          <w:sdtPr>
            <w:id w:val="-1534954504"/>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5</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67" w:rsidRDefault="005806AE" w:rsidP="006E07C5">
    <w:pPr>
      <w:pStyle w:val="Footer"/>
      <w:jc w:val="center"/>
    </w:pPr>
    <w:sdt>
      <w:sdtPr>
        <w:id w:val="90834370"/>
        <w:docPartObj>
          <w:docPartGallery w:val="Page Numbers (Bottom of Page)"/>
          <w:docPartUnique/>
        </w:docPartObj>
      </w:sdtPr>
      <w:sdtEndPr/>
      <w:sdtContent>
        <w:sdt>
          <w:sdtPr>
            <w:id w:val="1361309599"/>
            <w:docPartObj>
              <w:docPartGallery w:val="Page Numbers (Top of Page)"/>
              <w:docPartUnique/>
            </w:docPartObj>
          </w:sdtPr>
          <w:sdtEndPr/>
          <w:sdtContent>
            <w:r w:rsidR="00883067" w:rsidRPr="00883067">
              <w:t xml:space="preserve">Page </w:t>
            </w:r>
            <w:r w:rsidR="00883067" w:rsidRPr="00883067">
              <w:rPr>
                <w:bCs/>
              </w:rPr>
              <w:fldChar w:fldCharType="begin"/>
            </w:r>
            <w:r w:rsidR="00883067" w:rsidRPr="00883067">
              <w:rPr>
                <w:bCs/>
              </w:rPr>
              <w:instrText xml:space="preserve"> PAGE </w:instrText>
            </w:r>
            <w:r w:rsidR="00883067" w:rsidRPr="00883067">
              <w:rPr>
                <w:bCs/>
              </w:rPr>
              <w:fldChar w:fldCharType="separate"/>
            </w:r>
            <w:r>
              <w:rPr>
                <w:bCs/>
                <w:noProof/>
              </w:rPr>
              <w:t>7</w:t>
            </w:r>
            <w:r w:rsidR="00883067" w:rsidRPr="00883067">
              <w:rPr>
                <w:bCs/>
              </w:rPr>
              <w:fldChar w:fldCharType="end"/>
            </w:r>
            <w:r w:rsidR="00883067" w:rsidRPr="00883067">
              <w:t xml:space="preserve"> of </w:t>
            </w:r>
            <w:r w:rsidR="00883067" w:rsidRPr="00883067">
              <w:rPr>
                <w:bCs/>
              </w:rPr>
              <w:fldChar w:fldCharType="begin"/>
            </w:r>
            <w:r w:rsidR="00883067" w:rsidRPr="00883067">
              <w:rPr>
                <w:bCs/>
              </w:rPr>
              <w:instrText xml:space="preserve"> NUMPAGES  </w:instrText>
            </w:r>
            <w:r w:rsidR="00883067" w:rsidRPr="00883067">
              <w:rPr>
                <w:bCs/>
              </w:rPr>
              <w:fldChar w:fldCharType="separate"/>
            </w:r>
            <w:r>
              <w:rPr>
                <w:bCs/>
                <w:noProof/>
              </w:rPr>
              <w:t>13</w:t>
            </w:r>
            <w:r w:rsidR="00883067" w:rsidRPr="00883067">
              <w:rPr>
                <w:bCs/>
              </w:rPr>
              <w:fldChar w:fldCharType="end"/>
            </w:r>
            <w:r w:rsidR="00F65AD8">
              <w:rPr>
                <w:bCs/>
              </w:rPr>
              <w:t xml:space="preserve"> Microsoft C</w:t>
            </w:r>
            <w:r w:rsidR="00883067" w:rsidRPr="00883067">
              <w:rPr>
                <w:bCs/>
              </w:rPr>
              <w:t>onfidential</w:t>
            </w:r>
          </w:sdtContent>
        </w:sdt>
      </w:sdtContent>
    </w:sdt>
  </w:p>
  <w:p w:rsidR="007909B8" w:rsidRDefault="00790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F4" w:rsidRDefault="000A1BF4" w:rsidP="004920DF">
      <w:pPr>
        <w:spacing w:before="0" w:after="0" w:line="240" w:lineRule="auto"/>
      </w:pPr>
      <w:r>
        <w:separator/>
      </w:r>
    </w:p>
  </w:footnote>
  <w:footnote w:type="continuationSeparator" w:id="0">
    <w:p w:rsidR="000A1BF4" w:rsidRDefault="000A1BF4" w:rsidP="004920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8233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23" w:rsidRDefault="006E07C5" w:rsidP="006E07C5">
    <w:pPr>
      <w:pStyle w:val="Heading2"/>
      <w:jc w:val="center"/>
    </w:pPr>
    <w:r>
      <w:t>Voluntary Product Accessibility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EEC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A6D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82B4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889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BA8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F0A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818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C1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225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84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64B9E"/>
    <w:multiLevelType w:val="hybridMultilevel"/>
    <w:tmpl w:val="8040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D0A08"/>
    <w:multiLevelType w:val="hybridMultilevel"/>
    <w:tmpl w:val="4F82C854"/>
    <w:lvl w:ilvl="0" w:tplc="A67C63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A0BFC"/>
    <w:multiLevelType w:val="hybridMultilevel"/>
    <w:tmpl w:val="E40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BE"/>
    <w:rsid w:val="00003CE8"/>
    <w:rsid w:val="00021AEA"/>
    <w:rsid w:val="00025A7A"/>
    <w:rsid w:val="000307B0"/>
    <w:rsid w:val="000420AC"/>
    <w:rsid w:val="00056290"/>
    <w:rsid w:val="00073A19"/>
    <w:rsid w:val="0008619B"/>
    <w:rsid w:val="000A1BF4"/>
    <w:rsid w:val="000C56D4"/>
    <w:rsid w:val="000F5DB1"/>
    <w:rsid w:val="000F5E85"/>
    <w:rsid w:val="000F74C4"/>
    <w:rsid w:val="00111B0B"/>
    <w:rsid w:val="00116DCB"/>
    <w:rsid w:val="00137DC3"/>
    <w:rsid w:val="00146E76"/>
    <w:rsid w:val="00166A37"/>
    <w:rsid w:val="00175ADF"/>
    <w:rsid w:val="00184684"/>
    <w:rsid w:val="001B2293"/>
    <w:rsid w:val="001B724E"/>
    <w:rsid w:val="001C735E"/>
    <w:rsid w:val="001D2114"/>
    <w:rsid w:val="001D412A"/>
    <w:rsid w:val="001E0121"/>
    <w:rsid w:val="002100A1"/>
    <w:rsid w:val="00225E26"/>
    <w:rsid w:val="00226FC8"/>
    <w:rsid w:val="00227838"/>
    <w:rsid w:val="002751BD"/>
    <w:rsid w:val="00291348"/>
    <w:rsid w:val="00297647"/>
    <w:rsid w:val="002A1029"/>
    <w:rsid w:val="002B46FE"/>
    <w:rsid w:val="002B5CF6"/>
    <w:rsid w:val="002B6073"/>
    <w:rsid w:val="002C718D"/>
    <w:rsid w:val="002D74D8"/>
    <w:rsid w:val="002E08A2"/>
    <w:rsid w:val="002F3476"/>
    <w:rsid w:val="002F7FBE"/>
    <w:rsid w:val="003059F9"/>
    <w:rsid w:val="003137EC"/>
    <w:rsid w:val="0032215D"/>
    <w:rsid w:val="00324CED"/>
    <w:rsid w:val="0032600D"/>
    <w:rsid w:val="0035653B"/>
    <w:rsid w:val="00380149"/>
    <w:rsid w:val="003931CE"/>
    <w:rsid w:val="003C4CDC"/>
    <w:rsid w:val="003D7836"/>
    <w:rsid w:val="004019B2"/>
    <w:rsid w:val="00403C53"/>
    <w:rsid w:val="00411BB4"/>
    <w:rsid w:val="00436D09"/>
    <w:rsid w:val="004457D1"/>
    <w:rsid w:val="00465D5A"/>
    <w:rsid w:val="00466B01"/>
    <w:rsid w:val="00484F1E"/>
    <w:rsid w:val="00487B2D"/>
    <w:rsid w:val="00490DCC"/>
    <w:rsid w:val="004920DF"/>
    <w:rsid w:val="004A43EA"/>
    <w:rsid w:val="004A7FAC"/>
    <w:rsid w:val="004D4BF8"/>
    <w:rsid w:val="004E470E"/>
    <w:rsid w:val="004F5326"/>
    <w:rsid w:val="004F740A"/>
    <w:rsid w:val="005110D4"/>
    <w:rsid w:val="00535F03"/>
    <w:rsid w:val="00544839"/>
    <w:rsid w:val="00567278"/>
    <w:rsid w:val="00572B32"/>
    <w:rsid w:val="005806AE"/>
    <w:rsid w:val="0058523D"/>
    <w:rsid w:val="00585A91"/>
    <w:rsid w:val="005B7A92"/>
    <w:rsid w:val="005C62DD"/>
    <w:rsid w:val="00601807"/>
    <w:rsid w:val="006124AD"/>
    <w:rsid w:val="00625AE8"/>
    <w:rsid w:val="00652EBB"/>
    <w:rsid w:val="00664E62"/>
    <w:rsid w:val="00673CCA"/>
    <w:rsid w:val="006920C6"/>
    <w:rsid w:val="006A15C1"/>
    <w:rsid w:val="006A18C8"/>
    <w:rsid w:val="006B05D6"/>
    <w:rsid w:val="006B3999"/>
    <w:rsid w:val="006B39FB"/>
    <w:rsid w:val="006E07C5"/>
    <w:rsid w:val="006F4C05"/>
    <w:rsid w:val="00717DB2"/>
    <w:rsid w:val="0072113C"/>
    <w:rsid w:val="00721B80"/>
    <w:rsid w:val="00745D15"/>
    <w:rsid w:val="00753010"/>
    <w:rsid w:val="00753DF5"/>
    <w:rsid w:val="0076659E"/>
    <w:rsid w:val="00771C46"/>
    <w:rsid w:val="007909B8"/>
    <w:rsid w:val="007B18FC"/>
    <w:rsid w:val="007C75CB"/>
    <w:rsid w:val="007D2059"/>
    <w:rsid w:val="007F750A"/>
    <w:rsid w:val="00812BCF"/>
    <w:rsid w:val="00823323"/>
    <w:rsid w:val="00835065"/>
    <w:rsid w:val="00841CF9"/>
    <w:rsid w:val="00863AEE"/>
    <w:rsid w:val="0087056A"/>
    <w:rsid w:val="00883067"/>
    <w:rsid w:val="008B567E"/>
    <w:rsid w:val="008C0F96"/>
    <w:rsid w:val="008E3FE7"/>
    <w:rsid w:val="009156A4"/>
    <w:rsid w:val="00915B5E"/>
    <w:rsid w:val="009167F6"/>
    <w:rsid w:val="00922B98"/>
    <w:rsid w:val="00923752"/>
    <w:rsid w:val="00923A5A"/>
    <w:rsid w:val="00931A6F"/>
    <w:rsid w:val="0093496E"/>
    <w:rsid w:val="00982263"/>
    <w:rsid w:val="00986A5D"/>
    <w:rsid w:val="00992852"/>
    <w:rsid w:val="009C2342"/>
    <w:rsid w:val="009D1DFB"/>
    <w:rsid w:val="00A070E0"/>
    <w:rsid w:val="00A14364"/>
    <w:rsid w:val="00A2097B"/>
    <w:rsid w:val="00A22527"/>
    <w:rsid w:val="00A22EA4"/>
    <w:rsid w:val="00A32D6F"/>
    <w:rsid w:val="00A3583B"/>
    <w:rsid w:val="00A35A76"/>
    <w:rsid w:val="00A425C0"/>
    <w:rsid w:val="00A619AC"/>
    <w:rsid w:val="00A720BD"/>
    <w:rsid w:val="00A73B09"/>
    <w:rsid w:val="00A900A0"/>
    <w:rsid w:val="00AA141E"/>
    <w:rsid w:val="00AD38F6"/>
    <w:rsid w:val="00AD7D13"/>
    <w:rsid w:val="00AE1A0C"/>
    <w:rsid w:val="00B11BA6"/>
    <w:rsid w:val="00B40FB2"/>
    <w:rsid w:val="00B5449D"/>
    <w:rsid w:val="00B56B46"/>
    <w:rsid w:val="00B713C4"/>
    <w:rsid w:val="00BC25F6"/>
    <w:rsid w:val="00BC6630"/>
    <w:rsid w:val="00BC7E61"/>
    <w:rsid w:val="00BC7FD2"/>
    <w:rsid w:val="00BD0689"/>
    <w:rsid w:val="00BD0F78"/>
    <w:rsid w:val="00BD31F6"/>
    <w:rsid w:val="00BD3888"/>
    <w:rsid w:val="00BD78FA"/>
    <w:rsid w:val="00BE5DEE"/>
    <w:rsid w:val="00BF3A32"/>
    <w:rsid w:val="00C043E8"/>
    <w:rsid w:val="00C10E40"/>
    <w:rsid w:val="00C15460"/>
    <w:rsid w:val="00C20039"/>
    <w:rsid w:val="00C21987"/>
    <w:rsid w:val="00C221C5"/>
    <w:rsid w:val="00C36B87"/>
    <w:rsid w:val="00C50E39"/>
    <w:rsid w:val="00C74E33"/>
    <w:rsid w:val="00C86FEB"/>
    <w:rsid w:val="00C8772C"/>
    <w:rsid w:val="00CD2974"/>
    <w:rsid w:val="00CE2E79"/>
    <w:rsid w:val="00D11352"/>
    <w:rsid w:val="00D461B1"/>
    <w:rsid w:val="00D54D74"/>
    <w:rsid w:val="00D56D7A"/>
    <w:rsid w:val="00D61D2F"/>
    <w:rsid w:val="00D64FDA"/>
    <w:rsid w:val="00D66338"/>
    <w:rsid w:val="00D73E18"/>
    <w:rsid w:val="00D73EDE"/>
    <w:rsid w:val="00D811DD"/>
    <w:rsid w:val="00D86A53"/>
    <w:rsid w:val="00D97283"/>
    <w:rsid w:val="00DB7849"/>
    <w:rsid w:val="00DC0700"/>
    <w:rsid w:val="00DC435E"/>
    <w:rsid w:val="00DF514A"/>
    <w:rsid w:val="00E04C96"/>
    <w:rsid w:val="00E20C36"/>
    <w:rsid w:val="00E331B6"/>
    <w:rsid w:val="00E37073"/>
    <w:rsid w:val="00E40460"/>
    <w:rsid w:val="00E744EC"/>
    <w:rsid w:val="00E77DAF"/>
    <w:rsid w:val="00E838D6"/>
    <w:rsid w:val="00E87FEA"/>
    <w:rsid w:val="00E942F6"/>
    <w:rsid w:val="00EA5E7E"/>
    <w:rsid w:val="00EE26B3"/>
    <w:rsid w:val="00EE6090"/>
    <w:rsid w:val="00F012A7"/>
    <w:rsid w:val="00F15590"/>
    <w:rsid w:val="00F41483"/>
    <w:rsid w:val="00F42667"/>
    <w:rsid w:val="00F55CD5"/>
    <w:rsid w:val="00F65AD8"/>
    <w:rsid w:val="00F71396"/>
    <w:rsid w:val="00F829DE"/>
    <w:rsid w:val="00F95848"/>
    <w:rsid w:val="00FB0BE7"/>
    <w:rsid w:val="00FB6A74"/>
    <w:rsid w:val="00FD2CC6"/>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3B"/>
    <w:pPr>
      <w:spacing w:before="200" w:after="200" w:line="276" w:lineRule="auto"/>
    </w:pPr>
    <w:rPr>
      <w:rFonts w:eastAsia="Times New Roman"/>
      <w:lang w:bidi="en-US"/>
    </w:rPr>
  </w:style>
  <w:style w:type="paragraph" w:styleId="Heading1">
    <w:name w:val="heading 1"/>
    <w:basedOn w:val="Normal"/>
    <w:next w:val="Normal"/>
    <w:link w:val="Heading1Char"/>
    <w:qFormat/>
    <w:rsid w:val="004019B2"/>
    <w:pPr>
      <w:pBdr>
        <w:top w:val="single" w:sz="24" w:space="0" w:color="4274B0"/>
        <w:left w:val="single" w:sz="24" w:space="0" w:color="4274B0"/>
        <w:bottom w:val="single" w:sz="24" w:space="0" w:color="4274B0"/>
        <w:right w:val="single" w:sz="24" w:space="0" w:color="4274B0"/>
      </w:pBdr>
      <w:shd w:val="clear" w:color="auto" w:fill="4274B0"/>
      <w:spacing w:after="0"/>
      <w:outlineLvl w:val="0"/>
    </w:pPr>
    <w:rPr>
      <w:b/>
      <w:bCs/>
      <w:caps/>
      <w:color w:val="FFFFFF"/>
      <w:spacing w:val="15"/>
      <w:sz w:val="22"/>
    </w:rPr>
  </w:style>
  <w:style w:type="paragraph" w:styleId="Heading2">
    <w:name w:val="heading 2"/>
    <w:basedOn w:val="Normal"/>
    <w:next w:val="Normal"/>
    <w:link w:val="Heading2Char"/>
    <w:unhideWhenUsed/>
    <w:qFormat/>
    <w:rsid w:val="00863AEE"/>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19B2"/>
    <w:rPr>
      <w:rFonts w:eastAsia="Times New Roman"/>
      <w:b/>
      <w:bCs/>
      <w:caps/>
      <w:color w:val="FFFFFF"/>
      <w:spacing w:val="15"/>
      <w:sz w:val="22"/>
      <w:shd w:val="clear" w:color="auto" w:fill="4274B0"/>
      <w:lang w:bidi="en-US"/>
    </w:rPr>
  </w:style>
  <w:style w:type="paragraph" w:styleId="Title">
    <w:name w:val="Title"/>
    <w:basedOn w:val="Normal"/>
    <w:next w:val="Normal"/>
    <w:link w:val="TitleChar"/>
    <w:qFormat/>
    <w:rsid w:val="00A3583B"/>
    <w:pPr>
      <w:spacing w:before="720"/>
    </w:pPr>
    <w:rPr>
      <w:caps/>
      <w:color w:val="4F81BD"/>
      <w:spacing w:val="10"/>
      <w:kern w:val="28"/>
      <w:sz w:val="52"/>
      <w:szCs w:val="52"/>
    </w:rPr>
  </w:style>
  <w:style w:type="character" w:customStyle="1" w:styleId="TitleChar">
    <w:name w:val="Title Char"/>
    <w:link w:val="Title"/>
    <w:rsid w:val="00A3583B"/>
    <w:rPr>
      <w:rFonts w:eastAsia="Times New Roman"/>
      <w:caps/>
      <w:color w:val="4F81BD"/>
      <w:spacing w:val="10"/>
      <w:kern w:val="28"/>
      <w:sz w:val="52"/>
      <w:szCs w:val="52"/>
      <w:lang w:bidi="en-US"/>
    </w:rPr>
  </w:style>
  <w:style w:type="character" w:styleId="Hyperlink">
    <w:name w:val="Hyperlink"/>
    <w:rsid w:val="00673CCA"/>
    <w:rPr>
      <w:rFonts w:ascii="Calibri" w:hAnsi="Calibri"/>
      <w:color w:val="0000FF"/>
      <w:sz w:val="20"/>
      <w:u w:val="single"/>
    </w:rPr>
  </w:style>
  <w:style w:type="paragraph" w:styleId="Header">
    <w:name w:val="header"/>
    <w:basedOn w:val="Normal"/>
    <w:link w:val="HeaderChar"/>
    <w:rsid w:val="004920DF"/>
    <w:pPr>
      <w:tabs>
        <w:tab w:val="center" w:pos="4680"/>
        <w:tab w:val="right" w:pos="9360"/>
      </w:tabs>
    </w:pPr>
  </w:style>
  <w:style w:type="character" w:customStyle="1" w:styleId="HeaderChar">
    <w:name w:val="Header Char"/>
    <w:link w:val="Header"/>
    <w:rsid w:val="004920DF"/>
    <w:rPr>
      <w:rFonts w:eastAsia="Times New Roman"/>
      <w:lang w:bidi="en-US"/>
    </w:rPr>
  </w:style>
  <w:style w:type="paragraph" w:styleId="Footer">
    <w:name w:val="footer"/>
    <w:basedOn w:val="Normal"/>
    <w:link w:val="FooterChar"/>
    <w:uiPriority w:val="99"/>
    <w:rsid w:val="004920DF"/>
    <w:pPr>
      <w:tabs>
        <w:tab w:val="center" w:pos="4680"/>
        <w:tab w:val="right" w:pos="9360"/>
      </w:tabs>
    </w:pPr>
  </w:style>
  <w:style w:type="character" w:customStyle="1" w:styleId="FooterChar">
    <w:name w:val="Footer Char"/>
    <w:link w:val="Footer"/>
    <w:uiPriority w:val="99"/>
    <w:rsid w:val="004920DF"/>
    <w:rPr>
      <w:rFonts w:eastAsia="Times New Roman"/>
      <w:lang w:bidi="en-US"/>
    </w:rPr>
  </w:style>
  <w:style w:type="paragraph" w:styleId="ListParagraph">
    <w:name w:val="List Paragraph"/>
    <w:basedOn w:val="Normal"/>
    <w:qFormat/>
    <w:rsid w:val="00992852"/>
    <w:pPr>
      <w:ind w:left="720"/>
      <w:contextualSpacing/>
    </w:pPr>
  </w:style>
  <w:style w:type="character" w:styleId="FollowedHyperlink">
    <w:name w:val="FollowedHyperlink"/>
    <w:basedOn w:val="DefaultParagraphFont"/>
    <w:unhideWhenUsed/>
    <w:rsid w:val="00673CCA"/>
    <w:rPr>
      <w:rFonts w:ascii="Calibri" w:hAnsi="Calibri"/>
      <w:color w:val="800080" w:themeColor="followedHyperlink"/>
      <w:sz w:val="20"/>
      <w:u w:val="single"/>
    </w:rPr>
  </w:style>
  <w:style w:type="character" w:styleId="PlaceholderText">
    <w:name w:val="Placeholder Text"/>
    <w:basedOn w:val="DefaultParagraphFont"/>
    <w:rsid w:val="00E40460"/>
    <w:rPr>
      <w:color w:val="808080"/>
    </w:rPr>
  </w:style>
  <w:style w:type="paragraph" w:styleId="BalloonText">
    <w:name w:val="Balloon Text"/>
    <w:basedOn w:val="Normal"/>
    <w:link w:val="BalloonTextChar"/>
    <w:semiHidden/>
    <w:unhideWhenUsed/>
    <w:rsid w:val="008C0F9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C0F96"/>
    <w:rPr>
      <w:rFonts w:ascii="Segoe UI" w:eastAsia="Times New Roman" w:hAnsi="Segoe UI" w:cs="Segoe UI"/>
      <w:sz w:val="18"/>
      <w:szCs w:val="18"/>
      <w:lang w:bidi="en-US"/>
    </w:rPr>
  </w:style>
  <w:style w:type="paragraph" w:styleId="NoSpacing">
    <w:name w:val="No Spacing"/>
    <w:uiPriority w:val="1"/>
    <w:qFormat/>
    <w:rsid w:val="00166A37"/>
    <w:rPr>
      <w:rFonts w:asciiTheme="minorHAnsi" w:eastAsiaTheme="minorHAnsi" w:hAnsiTheme="minorHAnsi" w:cstheme="minorBidi"/>
      <w:sz w:val="22"/>
      <w:szCs w:val="22"/>
    </w:rPr>
  </w:style>
  <w:style w:type="table" w:styleId="MediumShading1-Accent1">
    <w:name w:val="Medium Shading 1 Accent 1"/>
    <w:basedOn w:val="TableNormal"/>
    <w:uiPriority w:val="63"/>
    <w:rsid w:val="00F41483"/>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yperlinkHeading">
    <w:name w:val="HyperlinkHeading"/>
    <w:basedOn w:val="Normal"/>
    <w:link w:val="HyperlinkHeadingChar"/>
    <w:qFormat/>
    <w:rsid w:val="007F750A"/>
    <w:pPr>
      <w:jc w:val="center"/>
    </w:pPr>
    <w:rPr>
      <w:rFonts w:cs="Calibri"/>
      <w:b/>
      <w:sz w:val="32"/>
      <w:szCs w:val="32"/>
    </w:rPr>
  </w:style>
  <w:style w:type="character" w:customStyle="1" w:styleId="HyperlinkHeadingChar">
    <w:name w:val="HyperlinkHeading Char"/>
    <w:basedOn w:val="DefaultParagraphFont"/>
    <w:link w:val="HyperlinkHeading"/>
    <w:rsid w:val="007F750A"/>
    <w:rPr>
      <w:rFonts w:eastAsia="Times New Roman" w:cs="Calibri"/>
      <w:b/>
      <w:sz w:val="32"/>
      <w:szCs w:val="32"/>
      <w:lang w:bidi="en-US"/>
    </w:rPr>
  </w:style>
  <w:style w:type="paragraph" w:styleId="NormalWeb">
    <w:name w:val="Normal (Web)"/>
    <w:basedOn w:val="Normal"/>
    <w:autoRedefine/>
    <w:semiHidden/>
    <w:unhideWhenUsed/>
    <w:rsid w:val="0032600D"/>
    <w:rPr>
      <w:sz w:val="22"/>
      <w:szCs w:val="24"/>
    </w:rPr>
  </w:style>
  <w:style w:type="character" w:customStyle="1" w:styleId="Heading2Char">
    <w:name w:val="Heading 2 Char"/>
    <w:basedOn w:val="DefaultParagraphFont"/>
    <w:link w:val="Heading2"/>
    <w:rsid w:val="00863AEE"/>
    <w:rPr>
      <w:rFonts w:asciiTheme="majorHAnsi" w:eastAsiaTheme="majorEastAsia" w:hAnsiTheme="majorHAnsi" w:cstheme="majorBidi"/>
      <w:b/>
      <w:bCs/>
      <w:color w:val="4F81BD" w:themeColor="accent1"/>
      <w:sz w:val="26"/>
      <w:szCs w:val="26"/>
      <w:lang w:bidi="en-US"/>
    </w:rPr>
  </w:style>
  <w:style w:type="table" w:styleId="TableGrid">
    <w:name w:val="Table Grid"/>
    <w:basedOn w:val="TableNormal"/>
    <w:rsid w:val="003C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50312">
      <w:bodyDiv w:val="1"/>
      <w:marLeft w:val="0"/>
      <w:marRight w:val="0"/>
      <w:marTop w:val="0"/>
      <w:marBottom w:val="0"/>
      <w:divBdr>
        <w:top w:val="none" w:sz="0" w:space="0" w:color="auto"/>
        <w:left w:val="none" w:sz="0" w:space="0" w:color="auto"/>
        <w:bottom w:val="none" w:sz="0" w:space="0" w:color="auto"/>
        <w:right w:val="none" w:sz="0" w:space="0" w:color="auto"/>
      </w:divBdr>
    </w:div>
    <w:div w:id="712195823">
      <w:bodyDiv w:val="1"/>
      <w:marLeft w:val="0"/>
      <w:marRight w:val="0"/>
      <w:marTop w:val="0"/>
      <w:marBottom w:val="0"/>
      <w:divBdr>
        <w:top w:val="none" w:sz="0" w:space="0" w:color="auto"/>
        <w:left w:val="none" w:sz="0" w:space="0" w:color="auto"/>
        <w:bottom w:val="none" w:sz="0" w:space="0" w:color="auto"/>
        <w:right w:val="none" w:sz="0" w:space="0" w:color="auto"/>
      </w:divBdr>
    </w:div>
    <w:div w:id="9156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8" Type="http://schemas.openxmlformats.org/officeDocument/2006/relationships/hyperlink" Target="http://www.dynamicsonline.com/" TargetMode="External"/><Relationship Id="rId5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FC31-C9F5-41D7-8FB8-8B6417D9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3335</Words>
  <Characters>19015</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2015-08-19T14:58:00Z</dcterms:created>
  <dcterms:modified xsi:type="dcterms:W3CDTF">2015-08-19T14:58:00Z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