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6" w:rsidRPr="00DC65A6" w:rsidRDefault="00325B2F" w:rsidP="00222ECD">
      <w:pPr>
        <w:spacing w:before="240" w:after="160"/>
        <w:jc w:val="left"/>
        <w:outlineLvl w:val="0"/>
        <w:rPr>
          <w:sz w:val="36"/>
          <w:szCs w:val="36"/>
          <w:lang w:val="ru-RU"/>
        </w:rPr>
      </w:pPr>
      <w:r w:rsidRPr="00222ECD">
        <w:rPr>
          <w:sz w:val="36"/>
          <w:szCs w:val="36"/>
          <w:lang w:val="ru-RU"/>
        </w:rPr>
        <w:t>Определения правительственного допуска</w:t>
      </w:r>
      <w:r w:rsidRPr="00222ECD">
        <w:rPr>
          <w:color w:val="auto"/>
          <w:sz w:val="36"/>
          <w:szCs w:val="36"/>
          <w:lang w:val="ru-RU"/>
        </w:rPr>
        <w:t xml:space="preserve"> </w:t>
      </w:r>
      <w:r w:rsidRPr="00222ECD">
        <w:rPr>
          <w:sz w:val="36"/>
          <w:szCs w:val="36"/>
          <w:lang w:val="ru-RU"/>
        </w:rPr>
        <w:t>Microsoft</w:t>
      </w:r>
      <w:r w:rsidR="00222ECD">
        <w:rPr>
          <w:sz w:val="36"/>
          <w:szCs w:val="36"/>
        </w:rPr>
        <w:t> </w:t>
      </w:r>
      <w:r w:rsidRPr="00222ECD">
        <w:rPr>
          <w:sz w:val="36"/>
          <w:szCs w:val="36"/>
          <w:lang w:val="ru-RU"/>
        </w:rPr>
        <w:t>(EMEA)</w:t>
      </w:r>
    </w:p>
    <w:p w:rsidR="00385E67" w:rsidRPr="00070A64" w:rsidRDefault="00B11027" w:rsidP="00DC65A6">
      <w:pPr>
        <w:rPr>
          <w:rFonts w:eastAsia="Times New Roman" w:cs="Times New Roman"/>
          <w:sz w:val="20"/>
          <w:szCs w:val="20"/>
          <w:lang w:val="ru-RU" w:eastAsia="de-DE"/>
        </w:rPr>
      </w:pPr>
      <w:r w:rsidRPr="00070A64">
        <w:rPr>
          <w:sz w:val="20"/>
          <w:szCs w:val="20"/>
          <w:lang w:val="ru-RU"/>
        </w:rPr>
        <w:t>Microsoft применяет ценовой уровень, в котором скидка зависит от объема заказа, в отношении государственных организаций конкретной страны (см. определение и описание ниже), если совокупное число лицензионных заказов по программам корпоративного лицензирования Microsoft, в которых организации принимают участие, составляет как минимум 15 000 компьютеров или 75 000 баллов по каждой категории продукта.</w:t>
      </w:r>
      <w:r w:rsidR="00DB24E2" w:rsidRPr="00070A64">
        <w:rPr>
          <w:rFonts w:eastAsia="Times New Roman" w:cs="Times New Roman"/>
          <w:sz w:val="20"/>
          <w:szCs w:val="20"/>
          <w:lang w:val="ru-RU" w:eastAsia="de-DE"/>
        </w:rPr>
        <w:t xml:space="preserve"> </w:t>
      </w:r>
      <w:r w:rsidR="00254A88" w:rsidRPr="00070A64">
        <w:rPr>
          <w:color w:val="auto"/>
          <w:sz w:val="20"/>
          <w:szCs w:val="20"/>
          <w:lang w:val="ru-RU"/>
        </w:rPr>
        <w:t xml:space="preserve">В зависимости от совокупного числа лицензионных заказов таким юридическим лицам («правомочным юридическим лицам») предлагается (1) ценовой уровень D </w:t>
      </w:r>
      <w:r w:rsidR="00153257">
        <w:rPr>
          <w:color w:val="auto"/>
          <w:sz w:val="20"/>
          <w:szCs w:val="20"/>
          <w:lang w:val="ru-RU"/>
        </w:rPr>
        <w:t>в программах</w:t>
      </w:r>
      <w:r w:rsidR="00153257" w:rsidRPr="00070A64">
        <w:rPr>
          <w:color w:val="auto"/>
          <w:sz w:val="20"/>
          <w:szCs w:val="20"/>
          <w:lang w:val="ru-RU"/>
        </w:rPr>
        <w:t xml:space="preserve"> </w:t>
      </w:r>
      <w:r w:rsidR="00254A88" w:rsidRPr="00070A64">
        <w:rPr>
          <w:color w:val="auto"/>
          <w:sz w:val="20"/>
          <w:szCs w:val="20"/>
          <w:lang w:val="ru-RU"/>
        </w:rPr>
        <w:t>Enterprise, Enterprise Subscription, Select или Select Plus в соответствии с применяемым Соглашением о регистрации или эквивалентным соглашением и/или (2) другой ценовой уровень, в котором скидка зависит от объема заказа, доступный для правомочных юридических лиц по программе корпоративного лицензирования Microsoft.</w:t>
      </w:r>
    </w:p>
    <w:p w:rsidR="00385E67" w:rsidRPr="00070A64" w:rsidRDefault="00E264DB" w:rsidP="00830524">
      <w:pPr>
        <w:spacing w:before="120"/>
        <w:rPr>
          <w:rFonts w:cs="Times New Roman"/>
          <w:sz w:val="20"/>
          <w:szCs w:val="20"/>
          <w:lang w:val="ru-RU"/>
        </w:rPr>
      </w:pPr>
      <w:r w:rsidRPr="00070A64">
        <w:rPr>
          <w:sz w:val="20"/>
          <w:szCs w:val="20"/>
          <w:lang w:val="ru-RU"/>
        </w:rPr>
        <w:t>Предложение правомочным юридическим лицам ценового уровня, в котором скидка зависит от объема заказа, действительно до тех пор, пока такой ценовой уровень предусмотрен соответствующей программой корпоративного лицензирования Microsoft и соглашением.</w:t>
      </w:r>
    </w:p>
    <w:p w:rsidR="00C92335" w:rsidRPr="00070A64" w:rsidRDefault="008C38A3" w:rsidP="00C92335">
      <w:pPr>
        <w:spacing w:before="120" w:after="120"/>
        <w:rPr>
          <w:sz w:val="20"/>
          <w:szCs w:val="20"/>
          <w:lang w:val="ru-RU"/>
        </w:rPr>
      </w:pPr>
      <w:r w:rsidRPr="00070A64">
        <w:rPr>
          <w:color w:val="auto"/>
          <w:sz w:val="20"/>
          <w:szCs w:val="20"/>
          <w:lang w:val="ru-RU"/>
        </w:rPr>
        <w:t>Под «правомочным юридическим лицом» понимается организация, целью деятельности которой не является получение прибыли и которая попадает в одну из приведенных ниже категорий</w:t>
      </w:r>
      <w:r w:rsidRPr="00070A64">
        <w:rPr>
          <w:sz w:val="20"/>
          <w:szCs w:val="20"/>
          <w:lang w:val="ru-RU"/>
        </w:rPr>
        <w:t>:</w:t>
      </w:r>
    </w:p>
    <w:p w:rsidR="00786883" w:rsidRDefault="00786883" w:rsidP="00183D5F">
      <w:pPr>
        <w:jc w:val="left"/>
        <w:rPr>
          <w:b/>
          <w:bCs/>
          <w:color w:val="FFFFFF"/>
          <w:sz w:val="21"/>
          <w:szCs w:val="21"/>
          <w:lang w:val="ru-RU"/>
        </w:rPr>
        <w:sectPr w:rsidR="00786883" w:rsidSect="00222ECD">
          <w:footerReference w:type="default" r:id="rId8"/>
          <w:headerReference w:type="first" r:id="rId9"/>
          <w:footerReference w:type="first" r:id="rId10"/>
          <w:pgSz w:w="11907" w:h="16839" w:code="9"/>
          <w:pgMar w:top="1440" w:right="1440" w:bottom="1440" w:left="1440" w:header="720" w:footer="432" w:gutter="0"/>
          <w:cols w:space="720"/>
          <w:titlePg/>
          <w:docGrid w:linePitch="360"/>
        </w:sect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5446"/>
      </w:tblGrid>
      <w:tr w:rsidR="00F96D46" w:rsidRPr="00A5019C" w:rsidTr="00C03C21">
        <w:trPr>
          <w:cantSplit/>
          <w:trHeight w:val="377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96D46" w:rsidRPr="00A5019C" w:rsidRDefault="00A95CE3" w:rsidP="00183D5F">
            <w:pPr>
              <w:jc w:val="left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A5019C">
              <w:rPr>
                <w:b/>
                <w:bCs/>
                <w:color w:val="FFFFFF"/>
                <w:sz w:val="21"/>
                <w:szCs w:val="21"/>
                <w:lang w:val="ru-RU"/>
              </w:rPr>
              <w:lastRenderedPageBreak/>
              <w:t>Категории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6D46" w:rsidRPr="00A5019C" w:rsidRDefault="00F96D46" w:rsidP="002D32D5">
            <w:pPr>
              <w:rPr>
                <w:rFonts w:cs="Times New Roman"/>
                <w:color w:val="FFFFFF"/>
              </w:rPr>
            </w:pPr>
          </w:p>
        </w:tc>
      </w:tr>
      <w:tr w:rsidR="00F96D46" w:rsidRPr="00222ECD" w:rsidTr="00C03C21">
        <w:trPr>
          <w:cantSplit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6D46" w:rsidRPr="00A5019C" w:rsidRDefault="00464EA9" w:rsidP="00830524">
            <w:pPr>
              <w:jc w:val="left"/>
              <w:rPr>
                <w:rFonts w:cs="Times New Roman"/>
                <w:b/>
                <w:bCs/>
              </w:rPr>
            </w:pPr>
            <w:r w:rsidRPr="00A5019C">
              <w:rPr>
                <w:b/>
                <w:bCs/>
                <w:sz w:val="20"/>
                <w:szCs w:val="20"/>
                <w:lang w:val="ru-RU"/>
              </w:rPr>
              <w:t>A.</w:t>
            </w:r>
            <w:r w:rsidR="00F96D46" w:rsidRPr="00A5019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5019C">
              <w:rPr>
                <w:b/>
                <w:bCs/>
                <w:sz w:val="20"/>
                <w:szCs w:val="20"/>
                <w:lang w:val="ru-RU"/>
              </w:rPr>
              <w:t>Надгосударственные</w:t>
            </w:r>
            <w:r w:rsidR="00F96D46" w:rsidRPr="00A5019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6" w:rsidRPr="00DC545E" w:rsidRDefault="00F30F08" w:rsidP="00830524">
            <w:pPr>
              <w:spacing w:before="120" w:after="120"/>
              <w:ind w:left="86" w:right="86"/>
              <w:rPr>
                <w:rFonts w:cs="Times New Roman"/>
                <w:sz w:val="20"/>
                <w:szCs w:val="20"/>
                <w:lang w:val="ru-RU"/>
              </w:rPr>
            </w:pPr>
            <w:r w:rsidRPr="00DC545E">
              <w:rPr>
                <w:sz w:val="20"/>
                <w:szCs w:val="20"/>
                <w:lang w:val="ru-RU"/>
              </w:rPr>
              <w:t>Все организации или учреждения, которые выполняют регулятивные или законодательные функции в отношении многих национальных правительств.</w:t>
            </w:r>
          </w:p>
        </w:tc>
      </w:tr>
      <w:tr w:rsidR="00F96D46" w:rsidRPr="00222ECD" w:rsidTr="00C03C21">
        <w:trPr>
          <w:cantSplit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6D46" w:rsidRPr="00A5019C" w:rsidRDefault="00F96D46" w:rsidP="00830524">
            <w:pPr>
              <w:jc w:val="left"/>
              <w:rPr>
                <w:rFonts w:cs="Times New Roman"/>
                <w:b/>
                <w:bCs/>
              </w:rPr>
            </w:pPr>
            <w:r w:rsidRPr="00A5019C">
              <w:rPr>
                <w:b/>
                <w:bCs/>
                <w:sz w:val="20"/>
                <w:szCs w:val="20"/>
                <w:lang w:val="en-GB"/>
              </w:rPr>
              <w:t xml:space="preserve">B. </w:t>
            </w:r>
            <w:r w:rsidR="00E326F3" w:rsidRPr="00A5019C">
              <w:rPr>
                <w:b/>
                <w:bCs/>
                <w:sz w:val="20"/>
                <w:szCs w:val="20"/>
                <w:lang w:val="ru-RU"/>
              </w:rPr>
              <w:t>Национальные/федеральные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6" w:rsidRPr="00DC545E" w:rsidRDefault="000E24C1" w:rsidP="00830524">
            <w:pPr>
              <w:spacing w:before="120" w:after="120"/>
              <w:ind w:left="86" w:right="86"/>
              <w:rPr>
                <w:rFonts w:cs="Times New Roman"/>
                <w:sz w:val="20"/>
                <w:szCs w:val="20"/>
                <w:lang w:val="ru-RU"/>
              </w:rPr>
            </w:pPr>
            <w:r w:rsidRPr="00DC545E">
              <w:rPr>
                <w:sz w:val="20"/>
                <w:szCs w:val="20"/>
                <w:lang w:val="ru-RU"/>
              </w:rPr>
              <w:t>Все государственные организации или учреждения, управление которыми осуществляется на федеральном или национальном уровне и которые уполномочены осуществлять управление государством.</w:t>
            </w:r>
            <w:r w:rsidR="00FC52E1" w:rsidRPr="00DC545E">
              <w:rPr>
                <w:sz w:val="20"/>
                <w:szCs w:val="20"/>
                <w:lang w:val="ru-RU"/>
              </w:rPr>
              <w:t xml:space="preserve"> </w:t>
            </w:r>
            <w:r w:rsidR="005F5524" w:rsidRPr="00DC545E">
              <w:rPr>
                <w:sz w:val="20"/>
                <w:szCs w:val="20"/>
                <w:lang w:val="ru-RU"/>
              </w:rPr>
              <w:t>К этой категории относятся законодательные и судебные органы, в полномочия которых входит правовое регулирование и принятие решений в отношении него.</w:t>
            </w:r>
          </w:p>
        </w:tc>
      </w:tr>
      <w:tr w:rsidR="00F96D46" w:rsidRPr="00222ECD" w:rsidTr="00C03C21">
        <w:trPr>
          <w:cantSplit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6D46" w:rsidRPr="00222ECD" w:rsidRDefault="00F96D46" w:rsidP="00830524">
            <w:pPr>
              <w:jc w:val="left"/>
              <w:rPr>
                <w:rFonts w:cs="Times New Roman"/>
                <w:b/>
                <w:bCs/>
                <w:lang w:val="ru-RU"/>
              </w:rPr>
            </w:pPr>
            <w:r w:rsidRPr="00A5019C">
              <w:rPr>
                <w:b/>
                <w:bCs/>
                <w:sz w:val="20"/>
                <w:szCs w:val="20"/>
                <w:lang w:val="en-GB"/>
              </w:rPr>
              <w:t>C</w:t>
            </w:r>
            <w:r w:rsidRPr="00222ECD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  <w:r w:rsidR="008700BE" w:rsidRPr="00A5019C">
              <w:rPr>
                <w:b/>
                <w:bCs/>
                <w:sz w:val="20"/>
                <w:szCs w:val="20"/>
                <w:lang w:val="ru-RU"/>
              </w:rPr>
              <w:t>Региональные/действующие на уровне штата/провинции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6" w:rsidRPr="00DC545E" w:rsidRDefault="003965D0" w:rsidP="00DC65A6">
            <w:pPr>
              <w:spacing w:before="120" w:after="120"/>
              <w:ind w:left="86" w:right="86"/>
              <w:rPr>
                <w:rFonts w:cs="Times New Roman"/>
                <w:sz w:val="20"/>
                <w:szCs w:val="20"/>
                <w:lang w:val="ru-RU"/>
              </w:rPr>
            </w:pPr>
            <w:r w:rsidRPr="00DC545E">
              <w:rPr>
                <w:sz w:val="20"/>
                <w:szCs w:val="20"/>
                <w:lang w:val="ru-RU"/>
              </w:rPr>
              <w:t>Следующий уровень государственного управления, к</w:t>
            </w:r>
            <w:r w:rsidR="00DC65A6" w:rsidRPr="00DC545E">
              <w:rPr>
                <w:sz w:val="20"/>
                <w:szCs w:val="20"/>
              </w:rPr>
              <w:t> </w:t>
            </w:r>
            <w:r w:rsidRPr="00DC545E">
              <w:rPr>
                <w:sz w:val="20"/>
                <w:szCs w:val="20"/>
                <w:lang w:val="ru-RU"/>
              </w:rPr>
              <w:t>компетенции которого относится не вся страна, а</w:t>
            </w:r>
            <w:r w:rsidR="00DC65A6" w:rsidRPr="00DC545E">
              <w:rPr>
                <w:sz w:val="20"/>
                <w:szCs w:val="20"/>
              </w:rPr>
              <w:t> </w:t>
            </w:r>
            <w:r w:rsidRPr="00DC545E">
              <w:rPr>
                <w:sz w:val="20"/>
                <w:szCs w:val="20"/>
                <w:lang w:val="ru-RU"/>
              </w:rPr>
              <w:t>несколько регионов с местным самоуправлением.</w:t>
            </w:r>
            <w:r w:rsidR="00F96D46" w:rsidRPr="00DC545E">
              <w:rPr>
                <w:sz w:val="20"/>
                <w:szCs w:val="20"/>
                <w:lang w:val="ru-RU"/>
              </w:rPr>
              <w:t xml:space="preserve"> </w:t>
            </w:r>
            <w:r w:rsidR="008158D2" w:rsidRPr="00DC545E">
              <w:rPr>
                <w:sz w:val="20"/>
                <w:szCs w:val="20"/>
                <w:lang w:val="ru-RU"/>
              </w:rPr>
              <w:t>К</w:t>
            </w:r>
            <w:r w:rsidR="00DC65A6" w:rsidRPr="00DC545E">
              <w:rPr>
                <w:sz w:val="20"/>
                <w:szCs w:val="20"/>
              </w:rPr>
              <w:t> </w:t>
            </w:r>
            <w:r w:rsidR="008158D2" w:rsidRPr="00DC545E">
              <w:rPr>
                <w:sz w:val="20"/>
                <w:szCs w:val="20"/>
                <w:lang w:val="ru-RU"/>
              </w:rPr>
              <w:t>этой категории относятся (1) все правительственные организации или учреждения, управление которыми осуществляется на уровне штата/региона, например,</w:t>
            </w:r>
            <w:r w:rsidR="00F96D46" w:rsidRPr="00DC545E">
              <w:rPr>
                <w:sz w:val="20"/>
                <w:szCs w:val="20"/>
                <w:lang w:val="ru-RU"/>
              </w:rPr>
              <w:t xml:space="preserve"> </w:t>
            </w:r>
            <w:r w:rsidR="00B76999" w:rsidRPr="00DC545E">
              <w:rPr>
                <w:sz w:val="20"/>
                <w:szCs w:val="20"/>
                <w:lang w:val="ru-RU"/>
              </w:rPr>
              <w:t>области, департаменты, штаты, земли, графства или провинции; и (2) все департаменты, законодательные, надзорные и судебные органы, в полномочия которых входит правовое регулирование и принятие решений в отношении него на территории данной области, департамента, штата, земли, графства или провинции.</w:t>
            </w:r>
          </w:p>
        </w:tc>
      </w:tr>
      <w:tr w:rsidR="00F96D46" w:rsidRPr="00222ECD" w:rsidTr="00C03C21">
        <w:trPr>
          <w:cantSplit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6D46" w:rsidRPr="00A5019C" w:rsidRDefault="00F96D46" w:rsidP="00830524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A5019C">
              <w:rPr>
                <w:b/>
                <w:bCs/>
                <w:sz w:val="20"/>
                <w:szCs w:val="20"/>
              </w:rPr>
              <w:lastRenderedPageBreak/>
              <w:t xml:space="preserve">D. </w:t>
            </w:r>
            <w:r w:rsidR="00F442ED" w:rsidRPr="00A5019C">
              <w:rPr>
                <w:b/>
                <w:bCs/>
                <w:sz w:val="20"/>
                <w:szCs w:val="20"/>
                <w:lang w:val="ru-RU"/>
              </w:rPr>
              <w:t>Местные/муниципальные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6" w:rsidRPr="00DC545E" w:rsidRDefault="00626A0F" w:rsidP="00DC65A6">
            <w:pPr>
              <w:spacing w:before="120" w:after="120"/>
              <w:ind w:left="86" w:right="86"/>
              <w:rPr>
                <w:rFonts w:cs="Times New Roman"/>
                <w:sz w:val="20"/>
                <w:szCs w:val="20"/>
                <w:lang w:val="ru-RU"/>
              </w:rPr>
            </w:pPr>
            <w:r w:rsidRPr="00DC545E">
              <w:rPr>
                <w:sz w:val="20"/>
                <w:szCs w:val="20"/>
                <w:lang w:val="ru-RU"/>
              </w:rPr>
              <w:t>Низший уровень государственного управления.</w:t>
            </w:r>
            <w:r w:rsidR="00F96D46" w:rsidRPr="00DC545E">
              <w:rPr>
                <w:sz w:val="20"/>
                <w:szCs w:val="20"/>
                <w:lang w:val="ru-RU"/>
              </w:rPr>
              <w:t xml:space="preserve"> </w:t>
            </w:r>
            <w:r w:rsidR="00680413" w:rsidRPr="00DC545E">
              <w:rPr>
                <w:sz w:val="20"/>
                <w:szCs w:val="20"/>
                <w:lang w:val="ru-RU"/>
              </w:rPr>
              <w:t>К</w:t>
            </w:r>
            <w:r w:rsidR="00DC65A6" w:rsidRPr="00DC545E">
              <w:rPr>
                <w:sz w:val="20"/>
                <w:szCs w:val="20"/>
              </w:rPr>
              <w:t> </w:t>
            </w:r>
            <w:r w:rsidR="00680413" w:rsidRPr="00DC545E">
              <w:rPr>
                <w:sz w:val="20"/>
                <w:szCs w:val="20"/>
                <w:lang w:val="ru-RU"/>
              </w:rPr>
              <w:t>этой категории относятся все правительственные организации или учреждения, управление которым</w:t>
            </w:r>
            <w:r w:rsidR="00527695">
              <w:rPr>
                <w:sz w:val="20"/>
                <w:szCs w:val="20"/>
                <w:lang w:val="ru-RU"/>
              </w:rPr>
              <w:t>и</w:t>
            </w:r>
            <w:r w:rsidR="00680413" w:rsidRPr="00DC545E">
              <w:rPr>
                <w:sz w:val="20"/>
                <w:szCs w:val="20"/>
                <w:lang w:val="ru-RU"/>
              </w:rPr>
              <w:t xml:space="preserve"> осуществляется на уровне города, округа, регентства, поселка, населенного пункта городского типа, коммуны и административного района (например, организации, отвечающие за проведение развлекательных мероприятий, уборку мусора, пожарную охрану, а также управляющие местными службами и выполняющие функций некоторых общенациональных служб).</w:t>
            </w:r>
          </w:p>
        </w:tc>
      </w:tr>
      <w:tr w:rsidR="00385E67" w:rsidRPr="00222ECD" w:rsidTr="00C03C21">
        <w:trPr>
          <w:cantSplit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5E67" w:rsidRPr="00A5019C" w:rsidRDefault="00385E67" w:rsidP="00830524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A5019C">
              <w:rPr>
                <w:b/>
                <w:bCs/>
                <w:sz w:val="20"/>
                <w:szCs w:val="20"/>
              </w:rPr>
              <w:t xml:space="preserve">E. </w:t>
            </w:r>
            <w:r w:rsidR="00D469E8" w:rsidRPr="00A5019C">
              <w:rPr>
                <w:b/>
                <w:bCs/>
                <w:sz w:val="20"/>
                <w:szCs w:val="20"/>
                <w:lang w:val="ru-RU"/>
              </w:rPr>
              <w:t>Организации здравоохранения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7" w:rsidRPr="00222ECD" w:rsidRDefault="00263794" w:rsidP="00DC65A6">
            <w:pPr>
              <w:spacing w:before="120" w:after="120"/>
              <w:ind w:left="86" w:right="86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 государственные организации или учреждения, которые оказывают услуги здравоохранения и</w:t>
            </w:r>
            <w:r w:rsidR="00DC65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страхования, принимают решения в области здравоохранения на территории страны, обеспечивают финансирование здравоохранения и</w:t>
            </w:r>
            <w:r w:rsidR="00DC65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страхования или осуществляют регулятивную функцию в отношении здравоохранения и</w:t>
            </w:r>
            <w:r w:rsidR="00DC65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страхования.</w:t>
            </w:r>
          </w:p>
        </w:tc>
      </w:tr>
      <w:tr w:rsidR="00385E67" w:rsidRPr="00222ECD" w:rsidTr="00C03C21">
        <w:trPr>
          <w:cantSplit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5E67" w:rsidRPr="00A5019C" w:rsidRDefault="00385E67" w:rsidP="00830524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A5019C">
              <w:rPr>
                <w:b/>
                <w:bCs/>
                <w:sz w:val="20"/>
                <w:szCs w:val="20"/>
              </w:rPr>
              <w:t xml:space="preserve">F. </w:t>
            </w:r>
            <w:r w:rsidR="00D469E8" w:rsidRPr="00A5019C">
              <w:rPr>
                <w:b/>
                <w:bCs/>
                <w:sz w:val="20"/>
                <w:szCs w:val="20"/>
                <w:lang w:val="ru-RU"/>
              </w:rPr>
              <w:t>Прочие государственные организации</w:t>
            </w:r>
            <w:r w:rsidR="00B845E0" w:rsidRPr="00A501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7" w:rsidRDefault="00836E45" w:rsidP="00C46F27">
            <w:pPr>
              <w:spacing w:before="120" w:after="120"/>
              <w:ind w:left="86" w:right="86"/>
              <w:rPr>
                <w:sz w:val="20"/>
                <w:szCs w:val="20"/>
              </w:rPr>
            </w:pPr>
            <w:r w:rsidRPr="00A5019C">
              <w:rPr>
                <w:sz w:val="20"/>
                <w:szCs w:val="20"/>
                <w:lang w:val="ru-RU"/>
              </w:rPr>
              <w:t>Все организации, которые находятся в подчинении международно-признанного правительства страны и</w:t>
            </w:r>
            <w:r w:rsidR="00DC65A6">
              <w:rPr>
                <w:sz w:val="20"/>
                <w:szCs w:val="20"/>
              </w:rPr>
              <w:t> </w:t>
            </w:r>
            <w:r w:rsidRPr="00A5019C">
              <w:rPr>
                <w:sz w:val="20"/>
                <w:szCs w:val="20"/>
                <w:lang w:val="ru-RU"/>
              </w:rPr>
              <w:t>подотчетны ему.</w:t>
            </w:r>
            <w:r w:rsidR="00385E67" w:rsidRPr="00222ECD">
              <w:rPr>
                <w:sz w:val="20"/>
                <w:szCs w:val="20"/>
                <w:lang w:val="ru-RU"/>
              </w:rPr>
              <w:t xml:space="preserve"> </w:t>
            </w:r>
          </w:p>
          <w:p w:rsidR="003D6A24" w:rsidRPr="007C4B3E" w:rsidRDefault="003D6A24" w:rsidP="003D6A24">
            <w:pPr>
              <w:spacing w:before="120" w:after="120"/>
              <w:ind w:left="86" w:right="86"/>
              <w:rPr>
                <w:color w:val="1F497D"/>
                <w:lang w:val="ru-RU"/>
              </w:rPr>
            </w:pPr>
            <w:r w:rsidRPr="007C4B3E">
              <w:rPr>
                <w:sz w:val="20"/>
                <w:szCs w:val="20"/>
                <w:lang w:val="ru-RU"/>
              </w:rPr>
              <w:t xml:space="preserve">Все организации, учрежденные с целью выполнять </w:t>
            </w:r>
            <w:r>
              <w:rPr>
                <w:sz w:val="20"/>
                <w:szCs w:val="20"/>
                <w:lang w:val="ru-RU"/>
              </w:rPr>
              <w:t>государственные; публичные; публично-правовые</w:t>
            </w:r>
            <w:r w:rsidRPr="007C4B3E">
              <w:rPr>
                <w:sz w:val="20"/>
                <w:szCs w:val="20"/>
                <w:lang w:val="ru-RU"/>
              </w:rPr>
              <w:t>; общественны</w:t>
            </w:r>
            <w:r>
              <w:rPr>
                <w:sz w:val="20"/>
                <w:szCs w:val="20"/>
                <w:lang w:val="ru-RU"/>
              </w:rPr>
              <w:t>е; муниципальные</w:t>
            </w:r>
            <w:r w:rsidRPr="007C4B3E">
              <w:rPr>
                <w:sz w:val="20"/>
                <w:szCs w:val="20"/>
                <w:lang w:val="ru-RU"/>
              </w:rPr>
              <w:t xml:space="preserve"> функции, зафиксированные в их уставе или иных учредительных документах (к примеру, государственные органы управления, муниципальные унитарные предприятия, государственные исследователькие институты)</w:t>
            </w:r>
          </w:p>
        </w:tc>
      </w:tr>
    </w:tbl>
    <w:p w:rsidR="00812016" w:rsidRPr="00DC65A6" w:rsidRDefault="001C3CC1" w:rsidP="00830524">
      <w:pPr>
        <w:spacing w:before="120"/>
        <w:rPr>
          <w:rFonts w:cs="Times New Roman"/>
          <w:sz w:val="20"/>
          <w:szCs w:val="20"/>
          <w:lang w:val="ru-RU"/>
        </w:rPr>
      </w:pPr>
      <w:r w:rsidRPr="00DC65A6">
        <w:rPr>
          <w:sz w:val="20"/>
          <w:szCs w:val="20"/>
          <w:lang w:val="ru-RU"/>
        </w:rPr>
        <w:t>Если организация относится к одной из приведенных выше категорий и целью ее деятельности является получение прибыли, для определения того, считается ли она правомочным юридическим лицом, необходимо оценить данную организацию по дополнительным критериям:</w:t>
      </w:r>
    </w:p>
    <w:p w:rsidR="00812016" w:rsidRPr="00222ECD" w:rsidRDefault="00595104" w:rsidP="00DC65A6">
      <w:pPr>
        <w:spacing w:before="120"/>
        <w:ind w:left="1080" w:hanging="360"/>
        <w:rPr>
          <w:rFonts w:cs="Times New Roman"/>
          <w:sz w:val="20"/>
          <w:szCs w:val="20"/>
          <w:lang w:val="ru-RU"/>
        </w:rPr>
      </w:pPr>
      <w:r w:rsidRPr="00222ECD">
        <w:rPr>
          <w:b/>
          <w:bCs/>
          <w:sz w:val="20"/>
          <w:szCs w:val="20"/>
          <w:lang w:val="ru-RU"/>
        </w:rPr>
        <w:t>1.</w:t>
      </w:r>
      <w:r w:rsidRPr="00222ECD">
        <w:rPr>
          <w:rFonts w:cs="Times New Roman"/>
          <w:sz w:val="20"/>
          <w:szCs w:val="20"/>
          <w:lang w:val="ru-RU"/>
        </w:rPr>
        <w:tab/>
      </w:r>
      <w:r w:rsidR="000C5F4A">
        <w:rPr>
          <w:sz w:val="20"/>
          <w:szCs w:val="20"/>
          <w:lang w:val="ru-RU"/>
        </w:rPr>
        <w:t>Направляется ли доход (прибыль) исключительно в государственный бюджет (или</w:t>
      </w:r>
      <w:r w:rsidR="00DC65A6">
        <w:rPr>
          <w:sz w:val="20"/>
          <w:szCs w:val="20"/>
        </w:rPr>
        <w:t> </w:t>
      </w:r>
      <w:r w:rsidR="000C5F4A">
        <w:rPr>
          <w:sz w:val="20"/>
          <w:szCs w:val="20"/>
          <w:lang w:val="ru-RU"/>
        </w:rPr>
        <w:t>часть дохода (прибыли) распределяется между частными акционерами)?</w:t>
      </w:r>
    </w:p>
    <w:p w:rsidR="00812016" w:rsidRPr="00222ECD" w:rsidRDefault="00595104" w:rsidP="00DC65A6">
      <w:pPr>
        <w:spacing w:before="120"/>
        <w:ind w:left="1080" w:hanging="360"/>
        <w:rPr>
          <w:rFonts w:cs="Times New Roman"/>
          <w:sz w:val="20"/>
          <w:szCs w:val="20"/>
          <w:lang w:val="ru-RU"/>
        </w:rPr>
      </w:pPr>
      <w:r w:rsidRPr="00222ECD">
        <w:rPr>
          <w:b/>
          <w:bCs/>
          <w:sz w:val="20"/>
          <w:szCs w:val="20"/>
          <w:lang w:val="ru-RU"/>
        </w:rPr>
        <w:t>2.</w:t>
      </w:r>
      <w:r w:rsidRPr="00222ECD">
        <w:rPr>
          <w:rFonts w:cs="Times New Roman"/>
          <w:sz w:val="20"/>
          <w:szCs w:val="20"/>
          <w:lang w:val="ru-RU"/>
        </w:rPr>
        <w:tab/>
      </w:r>
      <w:r w:rsidR="001F6649" w:rsidRPr="00A5019C">
        <w:rPr>
          <w:sz w:val="20"/>
          <w:szCs w:val="20"/>
          <w:lang w:val="ru-RU"/>
        </w:rPr>
        <w:t>Освобождена ли данная организация от уплаты налога на прибыль корпораций?</w:t>
      </w:r>
    </w:p>
    <w:p w:rsidR="00812016" w:rsidRPr="00222ECD" w:rsidRDefault="00595104" w:rsidP="00DC65A6">
      <w:pPr>
        <w:spacing w:before="120"/>
        <w:ind w:left="1080" w:hanging="360"/>
        <w:rPr>
          <w:rFonts w:cs="Times New Roman"/>
          <w:sz w:val="20"/>
          <w:szCs w:val="20"/>
          <w:lang w:val="ru-RU"/>
        </w:rPr>
      </w:pPr>
      <w:r w:rsidRPr="00222ECD">
        <w:rPr>
          <w:b/>
          <w:bCs/>
          <w:sz w:val="20"/>
          <w:szCs w:val="20"/>
          <w:lang w:val="ru-RU"/>
        </w:rPr>
        <w:t>3.</w:t>
      </w:r>
      <w:r w:rsidRPr="00222ECD">
        <w:rPr>
          <w:rFonts w:cs="Times New Roman"/>
          <w:sz w:val="20"/>
          <w:szCs w:val="20"/>
          <w:lang w:val="ru-RU"/>
        </w:rPr>
        <w:tab/>
      </w:r>
      <w:r w:rsidR="001F6649" w:rsidRPr="00A5019C">
        <w:rPr>
          <w:sz w:val="20"/>
          <w:szCs w:val="20"/>
          <w:lang w:val="ru-RU"/>
        </w:rPr>
        <w:t>Осуществляется ли финансирование организации более чем наполовину за счет государства (то есть финансирование за счет коммерческой деятельности организации составляет менее 50%)?</w:t>
      </w:r>
    </w:p>
    <w:p w:rsidR="00B845E0" w:rsidRPr="00222ECD" w:rsidRDefault="00A01D47" w:rsidP="00070A64">
      <w:pPr>
        <w:spacing w:before="120"/>
        <w:outlineLvl w:val="0"/>
        <w:rPr>
          <w:sz w:val="20"/>
          <w:szCs w:val="20"/>
          <w:lang w:val="ru-RU"/>
        </w:rPr>
      </w:pPr>
      <w:r w:rsidRPr="00A5019C">
        <w:rPr>
          <w:sz w:val="20"/>
          <w:szCs w:val="20"/>
          <w:lang w:val="ru-RU"/>
        </w:rPr>
        <w:t>Если на все вопросы даны положительные ответы, организация считается правомочным юридическим лицом.</w:t>
      </w:r>
      <w:r w:rsidR="00A87F10" w:rsidRPr="00222ECD">
        <w:rPr>
          <w:sz w:val="20"/>
          <w:szCs w:val="20"/>
          <w:lang w:val="ru-RU"/>
        </w:rPr>
        <w:t xml:space="preserve"> </w:t>
      </w:r>
      <w:r w:rsidRPr="00A5019C">
        <w:rPr>
          <w:sz w:val="20"/>
          <w:szCs w:val="20"/>
          <w:lang w:val="ru-RU"/>
        </w:rPr>
        <w:t>Если хотя бы на один вопрос дан отрицательный ответ, организация не считается правомочным юридическим лицом.</w:t>
      </w:r>
      <w:r w:rsidR="00B845E0" w:rsidRPr="00222ECD">
        <w:rPr>
          <w:sz w:val="20"/>
          <w:szCs w:val="20"/>
          <w:lang w:val="ru-RU"/>
        </w:rPr>
        <w:t xml:space="preserve"> </w:t>
      </w:r>
      <w:r w:rsidR="000C5F4A">
        <w:rPr>
          <w:sz w:val="20"/>
          <w:szCs w:val="20"/>
          <w:lang w:val="ru-RU"/>
        </w:rPr>
        <w:t>Обычно государственные корпорации, предприятия и организации (зарегистрированные или нет), занимающиеся коммерческой деятельностью (например, телекоммуникациями, банковской деятельностью, перевозками и</w:t>
      </w:r>
      <w:r w:rsidR="00070A64">
        <w:rPr>
          <w:sz w:val="20"/>
          <w:szCs w:val="20"/>
        </w:rPr>
        <w:t> </w:t>
      </w:r>
      <w:r w:rsidR="000C5F4A">
        <w:rPr>
          <w:sz w:val="20"/>
          <w:szCs w:val="20"/>
          <w:lang w:val="ru-RU"/>
        </w:rPr>
        <w:t>т.</w:t>
      </w:r>
      <w:r w:rsidR="00070A64">
        <w:rPr>
          <w:sz w:val="20"/>
          <w:szCs w:val="20"/>
        </w:rPr>
        <w:t> </w:t>
      </w:r>
      <w:r w:rsidR="000C5F4A">
        <w:rPr>
          <w:sz w:val="20"/>
          <w:szCs w:val="20"/>
          <w:lang w:val="ru-RU"/>
        </w:rPr>
        <w:t xml:space="preserve">д.), </w:t>
      </w:r>
      <w:r w:rsidR="000C5F4A">
        <w:rPr>
          <w:b/>
          <w:bCs/>
          <w:sz w:val="20"/>
          <w:szCs w:val="20"/>
          <w:lang w:val="ru-RU"/>
        </w:rPr>
        <w:t xml:space="preserve">не </w:t>
      </w:r>
      <w:r w:rsidR="000C5F4A">
        <w:rPr>
          <w:sz w:val="20"/>
          <w:szCs w:val="20"/>
          <w:lang w:val="ru-RU"/>
        </w:rPr>
        <w:t>являются правомочными юридическими лицами.</w:t>
      </w:r>
      <w:r w:rsidR="00B845E0" w:rsidRPr="00222ECD">
        <w:rPr>
          <w:sz w:val="20"/>
          <w:szCs w:val="20"/>
          <w:lang w:val="ru-RU"/>
        </w:rPr>
        <w:t xml:space="preserve"> </w:t>
      </w:r>
    </w:p>
    <w:p w:rsidR="00AD6BDA" w:rsidRPr="00222ECD" w:rsidRDefault="0088315A" w:rsidP="00830524">
      <w:pPr>
        <w:spacing w:before="120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правительство страны публикует перечень государственных организаций, такие организации должны отвечать приведенным выше критериям, чтобы считаться правомочными юридическими лицами.</w:t>
      </w:r>
    </w:p>
    <w:sectPr w:rsidR="00AD6BDA" w:rsidRPr="00222ECD" w:rsidSect="00786883">
      <w:headerReference w:type="default" r:id="rId11"/>
      <w:type w:val="continuous"/>
      <w:pgSz w:w="11907" w:h="16839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72" w:rsidRDefault="000B29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2972" w:rsidRDefault="000B29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9" w:type="dxa"/>
      <w:jc w:val="center"/>
      <w:tblLook w:val="00A0"/>
    </w:tblPr>
    <w:tblGrid>
      <w:gridCol w:w="4566"/>
      <w:gridCol w:w="4463"/>
    </w:tblGrid>
    <w:tr w:rsidR="00F86135" w:rsidRPr="00830524">
      <w:trPr>
        <w:jc w:val="center"/>
      </w:trPr>
      <w:tc>
        <w:tcPr>
          <w:tcW w:w="4566" w:type="dxa"/>
        </w:tcPr>
        <w:p w:rsidR="00F86135" w:rsidRPr="00830524" w:rsidRDefault="00F86135" w:rsidP="00070A6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GovEligibilityDef(EMEA</w:t>
          </w:r>
          <w:r w:rsidRPr="00830524">
            <w:rPr>
              <w:sz w:val="16"/>
              <w:szCs w:val="16"/>
            </w:rPr>
            <w:t>)(</w:t>
          </w:r>
          <w:r w:rsidR="00070A64">
            <w:rPr>
              <w:sz w:val="16"/>
              <w:szCs w:val="16"/>
            </w:rPr>
            <w:t>RUS</w:t>
          </w:r>
          <w:r w:rsidR="007C4B3E">
            <w:rPr>
              <w:sz w:val="16"/>
              <w:szCs w:val="16"/>
            </w:rPr>
            <w:t>)(Jan2010</w:t>
          </w:r>
          <w:r w:rsidRPr="00830524">
            <w:rPr>
              <w:sz w:val="16"/>
              <w:szCs w:val="16"/>
            </w:rPr>
            <w:t>)</w:t>
          </w:r>
        </w:p>
      </w:tc>
      <w:tc>
        <w:tcPr>
          <w:tcW w:w="4463" w:type="dxa"/>
          <w:vAlign w:val="center"/>
        </w:tcPr>
        <w:p w:rsidR="00F86135" w:rsidRPr="00830524" w:rsidRDefault="00F86135" w:rsidP="00830524">
          <w:pPr>
            <w:jc w:val="right"/>
            <w:rPr>
              <w:rFonts w:cs="Times New Roman"/>
              <w:sz w:val="16"/>
              <w:szCs w:val="16"/>
            </w:rPr>
          </w:pPr>
          <w:r w:rsidRPr="00830524">
            <w:rPr>
              <w:sz w:val="16"/>
              <w:szCs w:val="16"/>
            </w:rPr>
            <w:t xml:space="preserve">Page </w:t>
          </w:r>
          <w:r w:rsidRPr="00830524">
            <w:rPr>
              <w:sz w:val="16"/>
              <w:szCs w:val="16"/>
            </w:rPr>
            <w:fldChar w:fldCharType="begin"/>
          </w:r>
          <w:r w:rsidRPr="00830524">
            <w:rPr>
              <w:sz w:val="16"/>
              <w:szCs w:val="16"/>
            </w:rPr>
            <w:instrText xml:space="preserve"> PAGE </w:instrText>
          </w:r>
          <w:r w:rsidRPr="00830524">
            <w:rPr>
              <w:sz w:val="16"/>
              <w:szCs w:val="16"/>
            </w:rPr>
            <w:fldChar w:fldCharType="separate"/>
          </w:r>
          <w:r w:rsidR="000E15E3">
            <w:rPr>
              <w:noProof/>
              <w:sz w:val="16"/>
              <w:szCs w:val="16"/>
            </w:rPr>
            <w:t>2</w:t>
          </w:r>
          <w:r w:rsidRPr="00830524">
            <w:rPr>
              <w:sz w:val="16"/>
              <w:szCs w:val="16"/>
            </w:rPr>
            <w:fldChar w:fldCharType="end"/>
          </w:r>
          <w:r w:rsidRPr="00830524">
            <w:rPr>
              <w:sz w:val="16"/>
              <w:szCs w:val="16"/>
            </w:rPr>
            <w:t xml:space="preserve"> of </w:t>
          </w:r>
          <w:r w:rsidRPr="00830524">
            <w:rPr>
              <w:sz w:val="16"/>
              <w:szCs w:val="16"/>
            </w:rPr>
            <w:fldChar w:fldCharType="begin"/>
          </w:r>
          <w:r w:rsidRPr="00830524">
            <w:rPr>
              <w:sz w:val="16"/>
              <w:szCs w:val="16"/>
            </w:rPr>
            <w:instrText xml:space="preserve"> NUMPAGES  </w:instrText>
          </w:r>
          <w:r w:rsidRPr="00830524">
            <w:rPr>
              <w:sz w:val="16"/>
              <w:szCs w:val="16"/>
            </w:rPr>
            <w:fldChar w:fldCharType="separate"/>
          </w:r>
          <w:r w:rsidR="000E15E3">
            <w:rPr>
              <w:noProof/>
              <w:sz w:val="16"/>
              <w:szCs w:val="16"/>
            </w:rPr>
            <w:t>2</w:t>
          </w:r>
          <w:r w:rsidRPr="00830524">
            <w:rPr>
              <w:sz w:val="16"/>
              <w:szCs w:val="16"/>
            </w:rPr>
            <w:fldChar w:fldCharType="end"/>
          </w:r>
        </w:p>
      </w:tc>
    </w:tr>
  </w:tbl>
  <w:p w:rsidR="00F86135" w:rsidRPr="00830524" w:rsidRDefault="00F86135">
    <w:pPr>
      <w:pStyle w:val="Footer"/>
      <w:rPr>
        <w:rFonts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9" w:type="dxa"/>
      <w:jc w:val="center"/>
      <w:tblLook w:val="00A0"/>
    </w:tblPr>
    <w:tblGrid>
      <w:gridCol w:w="4566"/>
      <w:gridCol w:w="4463"/>
    </w:tblGrid>
    <w:tr w:rsidR="00F86135" w:rsidRPr="00830524">
      <w:trPr>
        <w:jc w:val="center"/>
      </w:trPr>
      <w:tc>
        <w:tcPr>
          <w:tcW w:w="4566" w:type="dxa"/>
        </w:tcPr>
        <w:p w:rsidR="00F86135" w:rsidRPr="00830524" w:rsidRDefault="00F86135" w:rsidP="00E0114C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GovEligibilityDef(</w:t>
          </w:r>
          <w:r w:rsidR="00E0114C">
            <w:rPr>
              <w:sz w:val="16"/>
              <w:szCs w:val="16"/>
            </w:rPr>
            <w:t>EMEA</w:t>
          </w:r>
          <w:r>
            <w:rPr>
              <w:sz w:val="16"/>
              <w:szCs w:val="16"/>
            </w:rPr>
            <w:t>)</w:t>
          </w:r>
          <w:r w:rsidRPr="00830524">
            <w:rPr>
              <w:sz w:val="16"/>
              <w:szCs w:val="16"/>
            </w:rPr>
            <w:t>(</w:t>
          </w:r>
          <w:r w:rsidR="00070A64">
            <w:rPr>
              <w:sz w:val="16"/>
              <w:szCs w:val="16"/>
            </w:rPr>
            <w:t>RUS</w:t>
          </w:r>
          <w:r w:rsidR="007C4B3E">
            <w:rPr>
              <w:sz w:val="16"/>
              <w:szCs w:val="16"/>
            </w:rPr>
            <w:t>)(Jan2010</w:t>
          </w:r>
          <w:r w:rsidRPr="00830524">
            <w:rPr>
              <w:sz w:val="16"/>
              <w:szCs w:val="16"/>
            </w:rPr>
            <w:t>)</w:t>
          </w:r>
        </w:p>
      </w:tc>
      <w:tc>
        <w:tcPr>
          <w:tcW w:w="4463" w:type="dxa"/>
          <w:vAlign w:val="center"/>
        </w:tcPr>
        <w:p w:rsidR="00F86135" w:rsidRPr="00830524" w:rsidRDefault="00F86135" w:rsidP="00806900">
          <w:pPr>
            <w:jc w:val="right"/>
            <w:rPr>
              <w:rFonts w:cs="Times New Roman"/>
              <w:sz w:val="16"/>
              <w:szCs w:val="16"/>
            </w:rPr>
          </w:pPr>
          <w:r w:rsidRPr="00830524">
            <w:rPr>
              <w:sz w:val="16"/>
              <w:szCs w:val="16"/>
            </w:rPr>
            <w:t xml:space="preserve">Page </w:t>
          </w:r>
          <w:r w:rsidRPr="00830524">
            <w:rPr>
              <w:sz w:val="16"/>
              <w:szCs w:val="16"/>
            </w:rPr>
            <w:fldChar w:fldCharType="begin"/>
          </w:r>
          <w:r w:rsidRPr="00830524">
            <w:rPr>
              <w:sz w:val="16"/>
              <w:szCs w:val="16"/>
            </w:rPr>
            <w:instrText xml:space="preserve"> PAGE </w:instrText>
          </w:r>
          <w:r w:rsidRPr="00830524">
            <w:rPr>
              <w:sz w:val="16"/>
              <w:szCs w:val="16"/>
            </w:rPr>
            <w:fldChar w:fldCharType="separate"/>
          </w:r>
          <w:r w:rsidR="000E15E3">
            <w:rPr>
              <w:noProof/>
              <w:sz w:val="16"/>
              <w:szCs w:val="16"/>
            </w:rPr>
            <w:t>1</w:t>
          </w:r>
          <w:r w:rsidRPr="00830524">
            <w:rPr>
              <w:sz w:val="16"/>
              <w:szCs w:val="16"/>
            </w:rPr>
            <w:fldChar w:fldCharType="end"/>
          </w:r>
          <w:r w:rsidRPr="00830524">
            <w:rPr>
              <w:sz w:val="16"/>
              <w:szCs w:val="16"/>
            </w:rPr>
            <w:t xml:space="preserve"> of </w:t>
          </w:r>
          <w:r w:rsidRPr="00830524">
            <w:rPr>
              <w:sz w:val="16"/>
              <w:szCs w:val="16"/>
            </w:rPr>
            <w:fldChar w:fldCharType="begin"/>
          </w:r>
          <w:r w:rsidRPr="00830524">
            <w:rPr>
              <w:sz w:val="16"/>
              <w:szCs w:val="16"/>
            </w:rPr>
            <w:instrText xml:space="preserve"> NUMPAGES  </w:instrText>
          </w:r>
          <w:r w:rsidRPr="00830524">
            <w:rPr>
              <w:sz w:val="16"/>
              <w:szCs w:val="16"/>
            </w:rPr>
            <w:fldChar w:fldCharType="separate"/>
          </w:r>
          <w:r w:rsidR="000E15E3">
            <w:rPr>
              <w:noProof/>
              <w:sz w:val="16"/>
              <w:szCs w:val="16"/>
            </w:rPr>
            <w:t>2</w:t>
          </w:r>
          <w:r w:rsidRPr="00830524">
            <w:rPr>
              <w:sz w:val="16"/>
              <w:szCs w:val="16"/>
            </w:rPr>
            <w:fldChar w:fldCharType="end"/>
          </w:r>
        </w:p>
      </w:tc>
    </w:tr>
  </w:tbl>
  <w:p w:rsidR="00F86135" w:rsidRPr="00D31D37" w:rsidRDefault="00F86135">
    <w:pPr>
      <w:pStyle w:val="Footer"/>
      <w:rPr>
        <w:rFonts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72" w:rsidRDefault="000B29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2972" w:rsidRDefault="000B29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83" w:rsidRDefault="00786883" w:rsidP="00786883">
    <w:pPr>
      <w:pStyle w:val="Header"/>
      <w:jc w:val="right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6.4pt;height:252.1pt;z-index:251657216;mso-position-horizontal:center;mso-position-horizontal-relative:margin;mso-position-vertical:center;mso-position-vertical-relative:margin">
          <v:imagedata r:id="rId1" o:title="K2Image" gain="19660f" blacklevel="22938f"/>
          <w10:wrap side="largest" anchorx="margin" anchory="margin"/>
        </v:shape>
      </w:pict>
    </w:r>
    <w:r w:rsidR="000E15E3">
      <w:rPr>
        <w:noProof/>
        <w:lang w:val="ru-RU" w:eastAsia="ru-RU"/>
      </w:rPr>
      <w:drawing>
        <wp:inline distT="0" distB="0" distL="0" distR="0">
          <wp:extent cx="3171825" cy="466725"/>
          <wp:effectExtent l="19050" t="0" r="9525" b="0"/>
          <wp:docPr id="1" name="Picture 1" descr="Microsoft_VolumeLicens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soft_VolumeLicensing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83" w:rsidRPr="00786883" w:rsidRDefault="00786883" w:rsidP="00786883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46.4pt;height:252.1pt;z-index:251658240;mso-position-horizontal:center;mso-position-horizontal-relative:margin;mso-position-vertical:center;mso-position-vertical-relative:margin">
          <v:imagedata r:id="rId1" o:title="K2Image" gain="19660f" blacklevel="22938f"/>
          <w10:wrap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0A9"/>
    <w:multiLevelType w:val="multilevel"/>
    <w:tmpl w:val="66CADF9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A3A"/>
    <w:multiLevelType w:val="hybridMultilevel"/>
    <w:tmpl w:val="04DA6EA4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02F10A1"/>
    <w:multiLevelType w:val="hybridMultilevel"/>
    <w:tmpl w:val="335CB966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186C1D09"/>
    <w:multiLevelType w:val="hybridMultilevel"/>
    <w:tmpl w:val="D2FC914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CC9"/>
    <w:multiLevelType w:val="hybridMultilevel"/>
    <w:tmpl w:val="E45C2BD4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2FD947DB"/>
    <w:multiLevelType w:val="hybridMultilevel"/>
    <w:tmpl w:val="E2509294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34A906BA"/>
    <w:multiLevelType w:val="hybridMultilevel"/>
    <w:tmpl w:val="7BD40AF4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382947D0"/>
    <w:multiLevelType w:val="hybridMultilevel"/>
    <w:tmpl w:val="5036BE02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39907DE3"/>
    <w:multiLevelType w:val="hybridMultilevel"/>
    <w:tmpl w:val="6262D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5E1A95"/>
    <w:multiLevelType w:val="hybridMultilevel"/>
    <w:tmpl w:val="0982406A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4DB13F4A"/>
    <w:multiLevelType w:val="multilevel"/>
    <w:tmpl w:val="9808D0C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710BE"/>
    <w:multiLevelType w:val="hybridMultilevel"/>
    <w:tmpl w:val="F6D2755E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>
    <w:nsid w:val="69A65C63"/>
    <w:multiLevelType w:val="hybridMultilevel"/>
    <w:tmpl w:val="0A0E0B66"/>
    <w:lvl w:ilvl="0" w:tplc="9D14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ACF04E">
      <w:start w:val="1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8B680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AA57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266A5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BB29D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2F005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AAC2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BF234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723A6AC4"/>
    <w:multiLevelType w:val="hybridMultilevel"/>
    <w:tmpl w:val="66C2AE58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>
    <w:nsid w:val="749135B8"/>
    <w:multiLevelType w:val="hybridMultilevel"/>
    <w:tmpl w:val="2D8A85F2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>
    <w:nsid w:val="7C6179E6"/>
    <w:multiLevelType w:val="hybridMultilevel"/>
    <w:tmpl w:val="99B08866"/>
    <w:lvl w:ilvl="0" w:tplc="9D14B76A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7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4iUdXhmfktFoS8kjigFAk8XMoFs=" w:salt="ktFYU5IJFzIIMgL5sTtb2w==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2016"/>
    <w:rsid w:val="00005CA3"/>
    <w:rsid w:val="00005F0D"/>
    <w:rsid w:val="00030CDF"/>
    <w:rsid w:val="00056A9B"/>
    <w:rsid w:val="00057673"/>
    <w:rsid w:val="00065274"/>
    <w:rsid w:val="00070A64"/>
    <w:rsid w:val="000711D2"/>
    <w:rsid w:val="000763D4"/>
    <w:rsid w:val="000A097A"/>
    <w:rsid w:val="000B2972"/>
    <w:rsid w:val="000B6A73"/>
    <w:rsid w:val="000B7873"/>
    <w:rsid w:val="000C524B"/>
    <w:rsid w:val="000C5F4A"/>
    <w:rsid w:val="000C619B"/>
    <w:rsid w:val="000D2DA8"/>
    <w:rsid w:val="000D7C59"/>
    <w:rsid w:val="000E15E3"/>
    <w:rsid w:val="000E24C1"/>
    <w:rsid w:val="000F2E8B"/>
    <w:rsid w:val="00113B5F"/>
    <w:rsid w:val="00114FCB"/>
    <w:rsid w:val="00116B34"/>
    <w:rsid w:val="00116E89"/>
    <w:rsid w:val="00127CB4"/>
    <w:rsid w:val="0014736D"/>
    <w:rsid w:val="00153257"/>
    <w:rsid w:val="00154578"/>
    <w:rsid w:val="00183D5F"/>
    <w:rsid w:val="001972D5"/>
    <w:rsid w:val="001A23DB"/>
    <w:rsid w:val="001B4D1C"/>
    <w:rsid w:val="001C3CC1"/>
    <w:rsid w:val="001D10D2"/>
    <w:rsid w:val="001D648E"/>
    <w:rsid w:val="001E1344"/>
    <w:rsid w:val="001E2AE9"/>
    <w:rsid w:val="001F0A1C"/>
    <w:rsid w:val="001F4320"/>
    <w:rsid w:val="001F6649"/>
    <w:rsid w:val="001F7BAC"/>
    <w:rsid w:val="0020354F"/>
    <w:rsid w:val="00205A19"/>
    <w:rsid w:val="0021622C"/>
    <w:rsid w:val="00222ECD"/>
    <w:rsid w:val="002303D1"/>
    <w:rsid w:val="002326E2"/>
    <w:rsid w:val="00235F1C"/>
    <w:rsid w:val="00243C49"/>
    <w:rsid w:val="00251D75"/>
    <w:rsid w:val="00254A88"/>
    <w:rsid w:val="00263794"/>
    <w:rsid w:val="0026387A"/>
    <w:rsid w:val="00271793"/>
    <w:rsid w:val="00275810"/>
    <w:rsid w:val="0027661C"/>
    <w:rsid w:val="00276C36"/>
    <w:rsid w:val="0027713E"/>
    <w:rsid w:val="00282A5A"/>
    <w:rsid w:val="00286E60"/>
    <w:rsid w:val="00291836"/>
    <w:rsid w:val="002B5267"/>
    <w:rsid w:val="002B54B8"/>
    <w:rsid w:val="002B67BC"/>
    <w:rsid w:val="002D32D5"/>
    <w:rsid w:val="002D73EF"/>
    <w:rsid w:val="002F4DA6"/>
    <w:rsid w:val="0032361A"/>
    <w:rsid w:val="00325B2F"/>
    <w:rsid w:val="0033086D"/>
    <w:rsid w:val="00331517"/>
    <w:rsid w:val="00344AF7"/>
    <w:rsid w:val="00344FE1"/>
    <w:rsid w:val="00360C43"/>
    <w:rsid w:val="00374791"/>
    <w:rsid w:val="00376160"/>
    <w:rsid w:val="00385E67"/>
    <w:rsid w:val="00394D1F"/>
    <w:rsid w:val="003965D0"/>
    <w:rsid w:val="003A0833"/>
    <w:rsid w:val="003A5F84"/>
    <w:rsid w:val="003A6B79"/>
    <w:rsid w:val="003B154A"/>
    <w:rsid w:val="003B35E2"/>
    <w:rsid w:val="003B3E21"/>
    <w:rsid w:val="003C0674"/>
    <w:rsid w:val="003D17D1"/>
    <w:rsid w:val="003D6A24"/>
    <w:rsid w:val="003E3993"/>
    <w:rsid w:val="003E6F35"/>
    <w:rsid w:val="003F728D"/>
    <w:rsid w:val="0040007E"/>
    <w:rsid w:val="00407253"/>
    <w:rsid w:val="00440F65"/>
    <w:rsid w:val="00443DEE"/>
    <w:rsid w:val="00444A48"/>
    <w:rsid w:val="00451620"/>
    <w:rsid w:val="00462400"/>
    <w:rsid w:val="00464EA9"/>
    <w:rsid w:val="0047321B"/>
    <w:rsid w:val="00482A2A"/>
    <w:rsid w:val="00484581"/>
    <w:rsid w:val="004A1C9A"/>
    <w:rsid w:val="004B5C86"/>
    <w:rsid w:val="004C04F1"/>
    <w:rsid w:val="004C6023"/>
    <w:rsid w:val="004C6547"/>
    <w:rsid w:val="004D5FD1"/>
    <w:rsid w:val="004E7376"/>
    <w:rsid w:val="004F5D87"/>
    <w:rsid w:val="00506132"/>
    <w:rsid w:val="00526899"/>
    <w:rsid w:val="00527695"/>
    <w:rsid w:val="005312C2"/>
    <w:rsid w:val="00547478"/>
    <w:rsid w:val="00586890"/>
    <w:rsid w:val="00595104"/>
    <w:rsid w:val="005958D6"/>
    <w:rsid w:val="005A141C"/>
    <w:rsid w:val="005A70A5"/>
    <w:rsid w:val="005B5ED8"/>
    <w:rsid w:val="005C1416"/>
    <w:rsid w:val="005C202B"/>
    <w:rsid w:val="005D1BD6"/>
    <w:rsid w:val="005E550F"/>
    <w:rsid w:val="005F5439"/>
    <w:rsid w:val="005F5524"/>
    <w:rsid w:val="00605355"/>
    <w:rsid w:val="00610A04"/>
    <w:rsid w:val="00611E56"/>
    <w:rsid w:val="0062120F"/>
    <w:rsid w:val="006235FB"/>
    <w:rsid w:val="0062601F"/>
    <w:rsid w:val="00626A0F"/>
    <w:rsid w:val="00641F7A"/>
    <w:rsid w:val="00646536"/>
    <w:rsid w:val="00646CB9"/>
    <w:rsid w:val="006473CD"/>
    <w:rsid w:val="006574F3"/>
    <w:rsid w:val="00664A65"/>
    <w:rsid w:val="00675A04"/>
    <w:rsid w:val="00680413"/>
    <w:rsid w:val="006839A0"/>
    <w:rsid w:val="00683EEE"/>
    <w:rsid w:val="00685CC1"/>
    <w:rsid w:val="006912F3"/>
    <w:rsid w:val="006C15EC"/>
    <w:rsid w:val="006C304A"/>
    <w:rsid w:val="006E12CA"/>
    <w:rsid w:val="006E5E75"/>
    <w:rsid w:val="00700CA0"/>
    <w:rsid w:val="007105CB"/>
    <w:rsid w:val="00716E00"/>
    <w:rsid w:val="00744872"/>
    <w:rsid w:val="00767F19"/>
    <w:rsid w:val="00781B48"/>
    <w:rsid w:val="00786883"/>
    <w:rsid w:val="007A11E0"/>
    <w:rsid w:val="007C4B3E"/>
    <w:rsid w:val="007C5E2E"/>
    <w:rsid w:val="007C6BE4"/>
    <w:rsid w:val="007C71DE"/>
    <w:rsid w:val="007D511A"/>
    <w:rsid w:val="007D6788"/>
    <w:rsid w:val="007E2883"/>
    <w:rsid w:val="00806900"/>
    <w:rsid w:val="00812016"/>
    <w:rsid w:val="00814594"/>
    <w:rsid w:val="008158D2"/>
    <w:rsid w:val="00822317"/>
    <w:rsid w:val="008259B4"/>
    <w:rsid w:val="00830524"/>
    <w:rsid w:val="00832FC7"/>
    <w:rsid w:val="00836E45"/>
    <w:rsid w:val="00847050"/>
    <w:rsid w:val="008472BD"/>
    <w:rsid w:val="00856144"/>
    <w:rsid w:val="008612CB"/>
    <w:rsid w:val="008700BE"/>
    <w:rsid w:val="00872E60"/>
    <w:rsid w:val="00873805"/>
    <w:rsid w:val="0088315A"/>
    <w:rsid w:val="0089128A"/>
    <w:rsid w:val="00895FF7"/>
    <w:rsid w:val="008A3FEC"/>
    <w:rsid w:val="008A4BB2"/>
    <w:rsid w:val="008A5BB3"/>
    <w:rsid w:val="008B40EE"/>
    <w:rsid w:val="008C38A3"/>
    <w:rsid w:val="008C3F73"/>
    <w:rsid w:val="008C68C4"/>
    <w:rsid w:val="008D2827"/>
    <w:rsid w:val="008E224A"/>
    <w:rsid w:val="008E7A8C"/>
    <w:rsid w:val="008F318D"/>
    <w:rsid w:val="00900260"/>
    <w:rsid w:val="00913FA2"/>
    <w:rsid w:val="00917F92"/>
    <w:rsid w:val="0093032A"/>
    <w:rsid w:val="009346F1"/>
    <w:rsid w:val="00937445"/>
    <w:rsid w:val="00941A99"/>
    <w:rsid w:val="00942B4E"/>
    <w:rsid w:val="00951237"/>
    <w:rsid w:val="0095789E"/>
    <w:rsid w:val="0096455B"/>
    <w:rsid w:val="00975986"/>
    <w:rsid w:val="009A3577"/>
    <w:rsid w:val="009A6722"/>
    <w:rsid w:val="009B0316"/>
    <w:rsid w:val="009E5413"/>
    <w:rsid w:val="009F7C4C"/>
    <w:rsid w:val="00A01D47"/>
    <w:rsid w:val="00A01E99"/>
    <w:rsid w:val="00A064D5"/>
    <w:rsid w:val="00A16A05"/>
    <w:rsid w:val="00A173F6"/>
    <w:rsid w:val="00A2427E"/>
    <w:rsid w:val="00A33C08"/>
    <w:rsid w:val="00A5019C"/>
    <w:rsid w:val="00A75F6B"/>
    <w:rsid w:val="00A76743"/>
    <w:rsid w:val="00A81B12"/>
    <w:rsid w:val="00A87F10"/>
    <w:rsid w:val="00A94427"/>
    <w:rsid w:val="00A95CE3"/>
    <w:rsid w:val="00AA5400"/>
    <w:rsid w:val="00AC3B72"/>
    <w:rsid w:val="00AD6BDA"/>
    <w:rsid w:val="00AE089A"/>
    <w:rsid w:val="00AF5A32"/>
    <w:rsid w:val="00B11027"/>
    <w:rsid w:val="00B233FD"/>
    <w:rsid w:val="00B33740"/>
    <w:rsid w:val="00B36D57"/>
    <w:rsid w:val="00B43A8E"/>
    <w:rsid w:val="00B50403"/>
    <w:rsid w:val="00B51C2C"/>
    <w:rsid w:val="00B524FE"/>
    <w:rsid w:val="00B55615"/>
    <w:rsid w:val="00B607E0"/>
    <w:rsid w:val="00B60B7F"/>
    <w:rsid w:val="00B62D69"/>
    <w:rsid w:val="00B76999"/>
    <w:rsid w:val="00B8252B"/>
    <w:rsid w:val="00B845E0"/>
    <w:rsid w:val="00B85174"/>
    <w:rsid w:val="00B940A1"/>
    <w:rsid w:val="00BB225D"/>
    <w:rsid w:val="00BC616A"/>
    <w:rsid w:val="00BC70C0"/>
    <w:rsid w:val="00BD2530"/>
    <w:rsid w:val="00BD7215"/>
    <w:rsid w:val="00BE010A"/>
    <w:rsid w:val="00BE2BB4"/>
    <w:rsid w:val="00BE3C30"/>
    <w:rsid w:val="00BF0F8B"/>
    <w:rsid w:val="00BF3E6A"/>
    <w:rsid w:val="00BF4AE5"/>
    <w:rsid w:val="00C03C21"/>
    <w:rsid w:val="00C0709D"/>
    <w:rsid w:val="00C14D4D"/>
    <w:rsid w:val="00C15FB4"/>
    <w:rsid w:val="00C22755"/>
    <w:rsid w:val="00C22978"/>
    <w:rsid w:val="00C240D7"/>
    <w:rsid w:val="00C2690E"/>
    <w:rsid w:val="00C26ABF"/>
    <w:rsid w:val="00C27CC9"/>
    <w:rsid w:val="00C4115D"/>
    <w:rsid w:val="00C46B92"/>
    <w:rsid w:val="00C46F27"/>
    <w:rsid w:val="00C52E7E"/>
    <w:rsid w:val="00C65CF0"/>
    <w:rsid w:val="00C73717"/>
    <w:rsid w:val="00C80F8F"/>
    <w:rsid w:val="00C92335"/>
    <w:rsid w:val="00CA1D28"/>
    <w:rsid w:val="00CB10E9"/>
    <w:rsid w:val="00CB30E9"/>
    <w:rsid w:val="00CB3C1E"/>
    <w:rsid w:val="00CB4763"/>
    <w:rsid w:val="00CC4D29"/>
    <w:rsid w:val="00CD2A4F"/>
    <w:rsid w:val="00CD3C06"/>
    <w:rsid w:val="00CD6E0E"/>
    <w:rsid w:val="00CE3C5C"/>
    <w:rsid w:val="00CE5376"/>
    <w:rsid w:val="00CF52EF"/>
    <w:rsid w:val="00D02D95"/>
    <w:rsid w:val="00D0744F"/>
    <w:rsid w:val="00D143A5"/>
    <w:rsid w:val="00D30F49"/>
    <w:rsid w:val="00D31D37"/>
    <w:rsid w:val="00D337EE"/>
    <w:rsid w:val="00D4561E"/>
    <w:rsid w:val="00D45C29"/>
    <w:rsid w:val="00D469E8"/>
    <w:rsid w:val="00D56507"/>
    <w:rsid w:val="00D57F10"/>
    <w:rsid w:val="00D6374A"/>
    <w:rsid w:val="00D6497E"/>
    <w:rsid w:val="00D67F40"/>
    <w:rsid w:val="00D8033B"/>
    <w:rsid w:val="00D805CC"/>
    <w:rsid w:val="00D9177E"/>
    <w:rsid w:val="00D91B8B"/>
    <w:rsid w:val="00DB1255"/>
    <w:rsid w:val="00DB24E2"/>
    <w:rsid w:val="00DB43A5"/>
    <w:rsid w:val="00DB459F"/>
    <w:rsid w:val="00DC3FC0"/>
    <w:rsid w:val="00DC545E"/>
    <w:rsid w:val="00DC65A6"/>
    <w:rsid w:val="00DD0FB6"/>
    <w:rsid w:val="00DF1530"/>
    <w:rsid w:val="00DF3E50"/>
    <w:rsid w:val="00E0114C"/>
    <w:rsid w:val="00E12965"/>
    <w:rsid w:val="00E12F83"/>
    <w:rsid w:val="00E15CC2"/>
    <w:rsid w:val="00E264DB"/>
    <w:rsid w:val="00E326F3"/>
    <w:rsid w:val="00E50266"/>
    <w:rsid w:val="00E5292F"/>
    <w:rsid w:val="00E65464"/>
    <w:rsid w:val="00E80621"/>
    <w:rsid w:val="00E90826"/>
    <w:rsid w:val="00E92D6F"/>
    <w:rsid w:val="00EA27AE"/>
    <w:rsid w:val="00EB0774"/>
    <w:rsid w:val="00EC0749"/>
    <w:rsid w:val="00ED3386"/>
    <w:rsid w:val="00EF4E65"/>
    <w:rsid w:val="00EF5C70"/>
    <w:rsid w:val="00F039A0"/>
    <w:rsid w:val="00F056FC"/>
    <w:rsid w:val="00F17A4D"/>
    <w:rsid w:val="00F20D7F"/>
    <w:rsid w:val="00F30F08"/>
    <w:rsid w:val="00F442ED"/>
    <w:rsid w:val="00F47010"/>
    <w:rsid w:val="00F57B85"/>
    <w:rsid w:val="00F6583D"/>
    <w:rsid w:val="00F67684"/>
    <w:rsid w:val="00F7292E"/>
    <w:rsid w:val="00F8406B"/>
    <w:rsid w:val="00F84FD9"/>
    <w:rsid w:val="00F86135"/>
    <w:rsid w:val="00F915D6"/>
    <w:rsid w:val="00F931E5"/>
    <w:rsid w:val="00F96D46"/>
    <w:rsid w:val="00FA0DDF"/>
    <w:rsid w:val="00FB0BC5"/>
    <w:rsid w:val="00FB69D9"/>
    <w:rsid w:val="00FB7898"/>
    <w:rsid w:val="00FC52E1"/>
    <w:rsid w:val="00FD59E2"/>
    <w:rsid w:val="00FD6440"/>
    <w:rsid w:val="00FE5EA7"/>
    <w:rsid w:val="00FF7B3D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D46"/>
    <w:pPr>
      <w:jc w:val="both"/>
    </w:pPr>
    <w:rPr>
      <w:color w:val="000000"/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7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2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728D"/>
  </w:style>
  <w:style w:type="paragraph" w:styleId="BalloonText">
    <w:name w:val="Balloon Text"/>
    <w:basedOn w:val="Normal"/>
    <w:semiHidden/>
    <w:rsid w:val="006574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A5400"/>
    <w:rPr>
      <w:sz w:val="16"/>
      <w:szCs w:val="16"/>
    </w:rPr>
  </w:style>
  <w:style w:type="paragraph" w:styleId="CommentText">
    <w:name w:val="annotation text"/>
    <w:basedOn w:val="Normal"/>
    <w:semiHidden/>
    <w:rsid w:val="00AA54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5400"/>
    <w:rPr>
      <w:b/>
      <w:bCs/>
    </w:rPr>
  </w:style>
  <w:style w:type="paragraph" w:styleId="DocumentMap">
    <w:name w:val="Document Map"/>
    <w:basedOn w:val="Normal"/>
    <w:semiHidden/>
    <w:rsid w:val="005312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B62D69"/>
    <w:pPr>
      <w:ind w:leftChars="400" w:left="840"/>
      <w:jc w:val="left"/>
    </w:pPr>
    <w:rPr>
      <w:rFonts w:ascii="Times New Roman" w:hAnsi="Times New Roman" w:cs="Times New Roman"/>
      <w:color w:val="auto"/>
    </w:rPr>
  </w:style>
  <w:style w:type="paragraph" w:styleId="Revision">
    <w:name w:val="Revision"/>
    <w:hidden/>
    <w:semiHidden/>
    <w:rsid w:val="00941A99"/>
    <w:rPr>
      <w:color w:val="000000"/>
      <w:sz w:val="24"/>
      <w:szCs w:val="24"/>
      <w:lang w:val="en-US" w:eastAsia="ja-JP"/>
    </w:rPr>
  </w:style>
  <w:style w:type="character" w:customStyle="1" w:styleId="translation1">
    <w:name w:val="translation1"/>
    <w:basedOn w:val="DefaultParagraphFont"/>
    <w:rsid w:val="003D6A24"/>
    <w:rPr>
      <w:color w:val="66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2010-01-13T20:02:00Z</outs:dateTime>
      <outs:isPinned>true</outs:isPinned>
    </outs:relatedDate>
    <outs:relatedDate>
      <outs:type>2</outs:type>
      <outs:displayName>Created</outs:displayName>
      <outs:dateTime>2010-01-13T20:02:00Z</outs:dateTime>
      <outs:isPinned>true</outs:isPinned>
    </outs:relatedDate>
    <outs:relatedDate>
      <outs:type>4</outs:type>
      <outs:displayName>Last Printed</outs:displayName>
      <outs:dateTime>2009-07-06T21:37:00Z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vpicker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Celester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2DC8B2F-9544-4BCD-90FC-ED33A6B0548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Public Sector Eligibility definition</vt:lpstr>
      <vt:lpstr>Public Sector Eligibility definition</vt:lpstr>
    </vt:vector>
  </TitlesOfParts>
  <Company>Microsoft Corporation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Eligibility definition</dc:title>
  <dc:creator>vpicker</dc:creator>
  <cp:lastModifiedBy>i-svyach</cp:lastModifiedBy>
  <cp:revision>2</cp:revision>
  <cp:lastPrinted>2009-07-06T10:37:00Z</cp:lastPrinted>
  <dcterms:created xsi:type="dcterms:W3CDTF">2010-01-19T12:10:00Z</dcterms:created>
  <dcterms:modified xsi:type="dcterms:W3CDTF">2010-01-19T12:10:00Z</dcterms:modified>
</cp:coreProperties>
</file>