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90" w:type="dxa"/>
        <w:tblInd w:w="-860" w:type="dxa"/>
        <w:tblLayout w:type="fixed"/>
        <w:tblCellMar>
          <w:left w:w="0" w:type="dxa"/>
          <w:right w:w="0" w:type="dxa"/>
        </w:tblCellMar>
        <w:tblLook w:val="0000" w:firstRow="0" w:lastRow="0" w:firstColumn="0" w:lastColumn="0" w:noHBand="0" w:noVBand="0"/>
      </w:tblPr>
      <w:tblGrid>
        <w:gridCol w:w="860"/>
        <w:gridCol w:w="3393"/>
        <w:gridCol w:w="284"/>
        <w:gridCol w:w="6853"/>
      </w:tblGrid>
      <w:tr w:rsidR="00A95AEB" w:rsidRPr="00D72ECF" w:rsidTr="009A38CD">
        <w:trPr>
          <w:cantSplit/>
          <w:trHeight w:hRule="exact" w:val="851"/>
        </w:trPr>
        <w:tc>
          <w:tcPr>
            <w:tcW w:w="4253" w:type="dxa"/>
            <w:gridSpan w:val="2"/>
            <w:vMerge w:val="restart"/>
          </w:tcPr>
          <w:p w:rsidR="00A95AEB" w:rsidRPr="00D72ECF" w:rsidRDefault="00A95AEB" w:rsidP="00A95AEB">
            <w:pPr>
              <w:rPr>
                <w:lang w:val="en-US"/>
              </w:rPr>
            </w:pPr>
            <w:bookmarkStart w:id="0" w:name="_GoBack"/>
            <w:bookmarkEnd w:id="0"/>
          </w:p>
        </w:tc>
        <w:tc>
          <w:tcPr>
            <w:tcW w:w="284" w:type="dxa"/>
            <w:vMerge w:val="restart"/>
          </w:tcPr>
          <w:p w:rsidR="00A95AEB" w:rsidRPr="00D72ECF" w:rsidRDefault="00A95AEB" w:rsidP="00A95AEB">
            <w:pPr>
              <w:rPr>
                <w:lang w:val="en-US"/>
              </w:rPr>
            </w:pPr>
          </w:p>
        </w:tc>
        <w:tc>
          <w:tcPr>
            <w:tcW w:w="6853" w:type="dxa"/>
          </w:tcPr>
          <w:p w:rsidR="00A95AEB" w:rsidRPr="00D72ECF" w:rsidRDefault="00A95AEB" w:rsidP="00A95AEB">
            <w:pPr>
              <w:pStyle w:val="StandFirstIntroduction"/>
              <w:rPr>
                <w:lang w:val="en-US"/>
              </w:rPr>
            </w:pPr>
          </w:p>
        </w:tc>
      </w:tr>
      <w:tr w:rsidR="00A95AEB" w:rsidRPr="00D72ECF" w:rsidTr="009A38CD">
        <w:trPr>
          <w:cantSplit/>
          <w:trHeight w:val="922"/>
        </w:trPr>
        <w:tc>
          <w:tcPr>
            <w:tcW w:w="4253" w:type="dxa"/>
            <w:gridSpan w:val="2"/>
            <w:vMerge/>
          </w:tcPr>
          <w:p w:rsidR="00A95AEB" w:rsidRPr="00D72ECF" w:rsidRDefault="00A95AEB" w:rsidP="00A95AEB">
            <w:pPr>
              <w:rPr>
                <w:lang w:val="en-US"/>
              </w:rPr>
            </w:pPr>
          </w:p>
        </w:tc>
        <w:tc>
          <w:tcPr>
            <w:tcW w:w="284" w:type="dxa"/>
            <w:vMerge/>
          </w:tcPr>
          <w:p w:rsidR="00A95AEB" w:rsidRPr="00D72ECF" w:rsidRDefault="00A95AEB" w:rsidP="00A95AEB">
            <w:pPr>
              <w:rPr>
                <w:lang w:val="en-US"/>
              </w:rPr>
            </w:pPr>
          </w:p>
        </w:tc>
        <w:tc>
          <w:tcPr>
            <w:tcW w:w="6853" w:type="dxa"/>
            <w:vAlign w:val="bottom"/>
          </w:tcPr>
          <w:p w:rsidR="009A38CD" w:rsidRPr="00D72ECF" w:rsidRDefault="009A38CD" w:rsidP="00A95AEB">
            <w:pPr>
              <w:pStyle w:val="Casestudydescription"/>
              <w:rPr>
                <w:lang w:val="en-US"/>
              </w:rPr>
            </w:pPr>
            <w:r w:rsidRPr="00D72ECF">
              <w:rPr>
                <w:lang w:val="en-US"/>
              </w:rPr>
              <w:t>Microsoft Dynamics</w:t>
            </w:r>
          </w:p>
          <w:p w:rsidR="00A95AEB" w:rsidRPr="00D72ECF" w:rsidRDefault="009A38CD" w:rsidP="00A95AEB">
            <w:pPr>
              <w:pStyle w:val="Casestudydescription"/>
              <w:rPr>
                <w:lang w:val="en-US"/>
              </w:rPr>
            </w:pPr>
            <w:r w:rsidRPr="00D72ECF">
              <w:rPr>
                <w:lang w:val="en-US"/>
              </w:rPr>
              <w:t>Customer Solution Case Study</w:t>
            </w:r>
          </w:p>
        </w:tc>
      </w:tr>
      <w:tr w:rsidR="00A95AEB" w:rsidRPr="00D72ECF" w:rsidTr="009A38CD">
        <w:trPr>
          <w:cantSplit/>
          <w:trHeight w:val="1134"/>
        </w:trPr>
        <w:tc>
          <w:tcPr>
            <w:tcW w:w="4253" w:type="dxa"/>
            <w:gridSpan w:val="2"/>
            <w:vMerge/>
          </w:tcPr>
          <w:p w:rsidR="00A95AEB" w:rsidRPr="00D72ECF" w:rsidRDefault="00A95AEB" w:rsidP="00A95AEB">
            <w:pPr>
              <w:rPr>
                <w:lang w:val="en-US"/>
              </w:rPr>
            </w:pPr>
          </w:p>
        </w:tc>
        <w:tc>
          <w:tcPr>
            <w:tcW w:w="284" w:type="dxa"/>
          </w:tcPr>
          <w:p w:rsidR="00A95AEB" w:rsidRPr="00D72ECF" w:rsidRDefault="00A95AEB" w:rsidP="00A95AEB">
            <w:pPr>
              <w:rPr>
                <w:lang w:val="en-US"/>
              </w:rPr>
            </w:pPr>
          </w:p>
        </w:tc>
        <w:tc>
          <w:tcPr>
            <w:tcW w:w="6853" w:type="dxa"/>
          </w:tcPr>
          <w:p w:rsidR="00A95AEB" w:rsidRPr="00D72ECF" w:rsidRDefault="00A95AEB" w:rsidP="00A95AEB">
            <w:pPr>
              <w:spacing w:after="80"/>
              <w:jc w:val="right"/>
              <w:rPr>
                <w:color w:val="FF9900"/>
                <w:lang w:val="en-US"/>
              </w:rPr>
            </w:pPr>
          </w:p>
        </w:tc>
      </w:tr>
      <w:tr w:rsidR="00A95AEB" w:rsidRPr="00D72ECF" w:rsidTr="006941E3">
        <w:trPr>
          <w:cantSplit/>
          <w:trHeight w:hRule="exact" w:val="1053"/>
        </w:trPr>
        <w:tc>
          <w:tcPr>
            <w:tcW w:w="860" w:type="dxa"/>
            <w:vMerge w:val="restart"/>
          </w:tcPr>
          <w:p w:rsidR="00A95AEB" w:rsidRPr="00D72ECF" w:rsidRDefault="00A95AEB" w:rsidP="00A95AEB">
            <w:pPr>
              <w:rPr>
                <w:lang w:val="en-US"/>
              </w:rPr>
            </w:pPr>
          </w:p>
        </w:tc>
        <w:tc>
          <w:tcPr>
            <w:tcW w:w="3393" w:type="dxa"/>
            <w:vMerge w:val="restart"/>
          </w:tcPr>
          <w:p w:rsidR="00A95AEB" w:rsidRPr="00D72ECF" w:rsidRDefault="00625308" w:rsidP="003E7038">
            <w:pPr>
              <w:rPr>
                <w:lang w:val="en-US"/>
              </w:rPr>
            </w:pPr>
            <w:r>
              <w:rPr>
                <w:noProof/>
                <w:lang w:val="en-US" w:eastAsia="ja-JP"/>
              </w:rPr>
              <w:drawing>
                <wp:inline distT="0" distB="0" distL="0" distR="0" wp14:anchorId="3E82C31A" wp14:editId="39838DAB">
                  <wp:extent cx="731520" cy="731520"/>
                  <wp:effectExtent l="0" t="0" r="0" b="0"/>
                  <wp:docPr id="1" name="Picture 16" descr="C:\Users\chris\Documents\MDCE\Thomas Cook\logo_thomas_coo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Documents\MDCE\Thomas Cook\logo_thomas_cook_medium.png"/>
                          <pic:cNvPicPr>
                            <a:picLocks noChangeAspect="1" noChangeArrowheads="1"/>
                          </pic:cNvPicPr>
                        </pic:nvPicPr>
                        <pic:blipFill>
                          <a:blip r:embed="rId11"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p>
        </w:tc>
        <w:tc>
          <w:tcPr>
            <w:tcW w:w="284" w:type="dxa"/>
            <w:tcBorders>
              <w:left w:val="nil"/>
            </w:tcBorders>
          </w:tcPr>
          <w:p w:rsidR="00A95AEB" w:rsidRPr="00D72ECF" w:rsidRDefault="00A95AEB" w:rsidP="00A95AEB">
            <w:pPr>
              <w:rPr>
                <w:lang w:val="en-US"/>
              </w:rPr>
            </w:pPr>
          </w:p>
        </w:tc>
        <w:tc>
          <w:tcPr>
            <w:tcW w:w="6853" w:type="dxa"/>
          </w:tcPr>
          <w:p w:rsidR="00A95AEB" w:rsidRPr="00D72ECF" w:rsidRDefault="00DA2ED3" w:rsidP="006941E3">
            <w:pPr>
              <w:pStyle w:val="DocumentTitle"/>
            </w:pPr>
            <w:r>
              <w:t xml:space="preserve">Travel Services Firm </w:t>
            </w:r>
            <w:r w:rsidR="006941E3">
              <w:t xml:space="preserve">Cuts Overtime, </w:t>
            </w:r>
            <w:r>
              <w:t>Improves Accounting with</w:t>
            </w:r>
            <w:r w:rsidR="00CC247C" w:rsidRPr="00CC247C">
              <w:t xml:space="preserve"> Financial Management Solution</w:t>
            </w:r>
            <w:r w:rsidR="00B72A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12pt;height:120.7pt;z-index:-251658240;mso-position-horizontal-relative:page;mso-position-vertical-relative:page" o:allowincell="f">
                  <v:imagedata r:id="rId12" o:title="Dynamics Header"/>
                  <w10:wrap anchorx="page" anchory="page"/>
                </v:shape>
              </w:pict>
            </w:r>
          </w:p>
        </w:tc>
      </w:tr>
      <w:tr w:rsidR="00A95AEB" w:rsidRPr="00D72ECF" w:rsidTr="00661519">
        <w:trPr>
          <w:cantSplit/>
          <w:trHeight w:val="737"/>
        </w:trPr>
        <w:tc>
          <w:tcPr>
            <w:tcW w:w="860" w:type="dxa"/>
            <w:vMerge/>
          </w:tcPr>
          <w:p w:rsidR="00A95AEB" w:rsidRPr="00D72ECF" w:rsidRDefault="00A95AEB" w:rsidP="00A95AEB">
            <w:pPr>
              <w:rPr>
                <w:lang w:val="en-US"/>
              </w:rPr>
            </w:pPr>
          </w:p>
        </w:tc>
        <w:tc>
          <w:tcPr>
            <w:tcW w:w="3393" w:type="dxa"/>
            <w:vMerge/>
            <w:tcBorders>
              <w:top w:val="single" w:sz="4" w:space="0" w:color="auto"/>
            </w:tcBorders>
          </w:tcPr>
          <w:p w:rsidR="00A95AEB" w:rsidRPr="00D72ECF" w:rsidRDefault="00A95AEB" w:rsidP="00A95AEB">
            <w:pPr>
              <w:rPr>
                <w:lang w:val="en-US"/>
              </w:rPr>
            </w:pPr>
          </w:p>
        </w:tc>
        <w:tc>
          <w:tcPr>
            <w:tcW w:w="284" w:type="dxa"/>
            <w:tcBorders>
              <w:left w:val="nil"/>
            </w:tcBorders>
          </w:tcPr>
          <w:p w:rsidR="00A95AEB" w:rsidRPr="00D72ECF" w:rsidRDefault="00A95AEB" w:rsidP="00A95AEB">
            <w:pPr>
              <w:rPr>
                <w:sz w:val="20"/>
                <w:lang w:val="en-US"/>
              </w:rPr>
            </w:pPr>
          </w:p>
        </w:tc>
        <w:tc>
          <w:tcPr>
            <w:tcW w:w="6853" w:type="dxa"/>
            <w:vAlign w:val="bottom"/>
          </w:tcPr>
          <w:p w:rsidR="00A95AEB" w:rsidRPr="00D72ECF" w:rsidRDefault="00A95AEB" w:rsidP="00A95AEB">
            <w:pPr>
              <w:pStyle w:val="StandFirstIntroduction"/>
              <w:rPr>
                <w:lang w:val="en-US"/>
              </w:rPr>
            </w:pPr>
          </w:p>
        </w:tc>
      </w:tr>
    </w:tbl>
    <w:p w:rsidR="00A95AEB" w:rsidRPr="00D72ECF" w:rsidRDefault="00A95AEB" w:rsidP="00A95AEB">
      <w:pPr>
        <w:pStyle w:val="Header"/>
        <w:rPr>
          <w:sz w:val="14"/>
          <w:lang w:val="en-US"/>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D72ECF" w:rsidTr="00E56CAC">
        <w:trPr>
          <w:cantSplit/>
          <w:trHeight w:hRule="exact" w:val="2061"/>
        </w:trPr>
        <w:tc>
          <w:tcPr>
            <w:tcW w:w="3119" w:type="dxa"/>
            <w:vMerge w:val="restart"/>
          </w:tcPr>
          <w:p w:rsidR="003119F1" w:rsidRPr="00D72ECF" w:rsidRDefault="003119F1" w:rsidP="0077065E">
            <w:pPr>
              <w:pStyle w:val="SectionHeading"/>
              <w:spacing w:before="120"/>
            </w:pPr>
            <w:r w:rsidRPr="00D72ECF">
              <w:t>Overview</w:t>
            </w:r>
          </w:p>
          <w:p w:rsidR="003119F1" w:rsidRPr="00D72ECF" w:rsidRDefault="003119F1">
            <w:pPr>
              <w:pStyle w:val="Bodycopy"/>
            </w:pPr>
            <w:r w:rsidRPr="00D72ECF">
              <w:rPr>
                <w:b/>
                <w:szCs w:val="17"/>
              </w:rPr>
              <w:t>Country</w:t>
            </w:r>
            <w:r w:rsidR="006E5542" w:rsidRPr="00D72ECF">
              <w:rPr>
                <w:b/>
                <w:szCs w:val="17"/>
              </w:rPr>
              <w:t xml:space="preserve"> or Region</w:t>
            </w:r>
            <w:r w:rsidRPr="00D72ECF">
              <w:rPr>
                <w:b/>
                <w:szCs w:val="17"/>
              </w:rPr>
              <w:t>:</w:t>
            </w:r>
            <w:r w:rsidRPr="00D72ECF">
              <w:t xml:space="preserve"> </w:t>
            </w:r>
            <w:r w:rsidR="00CC247C">
              <w:t>Scandinavia</w:t>
            </w:r>
          </w:p>
          <w:p w:rsidR="003119F1" w:rsidRPr="00D72ECF" w:rsidRDefault="003119F1">
            <w:pPr>
              <w:pStyle w:val="Bodycopy"/>
            </w:pPr>
            <w:r w:rsidRPr="00D72ECF">
              <w:rPr>
                <w:b/>
                <w:szCs w:val="17"/>
              </w:rPr>
              <w:t>Industry:</w:t>
            </w:r>
            <w:r w:rsidRPr="00D72ECF">
              <w:t xml:space="preserve"> </w:t>
            </w:r>
            <w:r w:rsidR="00E9677D">
              <w:t>Hospitality</w:t>
            </w:r>
            <w:r w:rsidR="00AC20C7">
              <w:t>—</w:t>
            </w:r>
            <w:r w:rsidR="00CC247C">
              <w:t>Travel services</w:t>
            </w:r>
          </w:p>
          <w:p w:rsidR="003119F1" w:rsidRPr="00D72ECF" w:rsidRDefault="003119F1">
            <w:pPr>
              <w:pStyle w:val="Bodycopy"/>
            </w:pPr>
          </w:p>
          <w:p w:rsidR="003119F1" w:rsidRPr="00D72ECF" w:rsidRDefault="003119F1">
            <w:pPr>
              <w:pStyle w:val="Bodycopyheading"/>
            </w:pPr>
            <w:r w:rsidRPr="00D72ECF">
              <w:t>Customer Profile</w:t>
            </w:r>
          </w:p>
          <w:p w:rsidR="003119F1" w:rsidRPr="00D72ECF" w:rsidRDefault="00CC247C" w:rsidP="00F02F9D">
            <w:pPr>
              <w:pStyle w:val="Bodycopy"/>
            </w:pPr>
            <w:r>
              <w:t>Thomas Cook Northern Europe has 2,800 employees and provides travel services that bring people to more than 200 destinations in 40 countries.</w:t>
            </w:r>
          </w:p>
          <w:p w:rsidR="003119F1" w:rsidRPr="00D72ECF" w:rsidRDefault="003119F1">
            <w:pPr>
              <w:pStyle w:val="Bodycopy"/>
            </w:pPr>
          </w:p>
          <w:p w:rsidR="003119F1" w:rsidRPr="00D72ECF" w:rsidRDefault="003119F1">
            <w:pPr>
              <w:pStyle w:val="Bodycopyheading"/>
            </w:pPr>
            <w:r w:rsidRPr="00D72ECF">
              <w:t>Business Situation</w:t>
            </w:r>
          </w:p>
          <w:p w:rsidR="00F02F9D" w:rsidRPr="00D72ECF" w:rsidRDefault="00CC247C" w:rsidP="00F02F9D">
            <w:pPr>
              <w:pStyle w:val="Bodycopy"/>
            </w:pPr>
            <w:r>
              <w:t>Facing a mandatory upgrade of its financial management system, Lawson Insight, Thomas Cook Northern Europe considered alternate solutions to gain better advantages at the same price.</w:t>
            </w:r>
          </w:p>
          <w:p w:rsidR="003119F1" w:rsidRPr="00D72ECF" w:rsidRDefault="003119F1">
            <w:pPr>
              <w:pStyle w:val="Bodycopy"/>
            </w:pPr>
          </w:p>
          <w:p w:rsidR="003119F1" w:rsidRPr="00D72ECF" w:rsidRDefault="003119F1">
            <w:pPr>
              <w:pStyle w:val="Bodycopyheading"/>
            </w:pPr>
            <w:r w:rsidRPr="00D72ECF">
              <w:t>Solution</w:t>
            </w:r>
          </w:p>
          <w:p w:rsidR="003119F1" w:rsidRPr="00D72ECF" w:rsidRDefault="00CC247C" w:rsidP="00F02F9D">
            <w:pPr>
              <w:pStyle w:val="Bodycopy"/>
            </w:pPr>
            <w:r>
              <w:t>Thomas Cook Northern Europe deployed Microsoft Dynamics NAV with the help of Microsoft Gold Certified Partner NAB Solutions.</w:t>
            </w:r>
          </w:p>
          <w:p w:rsidR="003119F1" w:rsidRPr="00D72ECF" w:rsidRDefault="003119F1">
            <w:pPr>
              <w:pStyle w:val="Bodycopy"/>
            </w:pPr>
          </w:p>
          <w:p w:rsidR="003119F1" w:rsidRPr="00D72ECF" w:rsidRDefault="003119F1">
            <w:pPr>
              <w:pStyle w:val="Bodycopyheading"/>
            </w:pPr>
            <w:r w:rsidRPr="00D72ECF">
              <w:t>Benefits</w:t>
            </w:r>
          </w:p>
          <w:p w:rsidR="00D50931" w:rsidRDefault="0014120C" w:rsidP="00742EE2">
            <w:pPr>
              <w:pStyle w:val="Bullet"/>
              <w:tabs>
                <w:tab w:val="clear" w:pos="170"/>
                <w:tab w:val="clear" w:pos="360"/>
              </w:tabs>
              <w:ind w:left="180" w:hanging="180"/>
              <w:rPr>
                <w:lang w:val="en-GB"/>
              </w:rPr>
            </w:pPr>
            <w:r w:rsidRPr="00945E1F">
              <w:t xml:space="preserve">Reduced </w:t>
            </w:r>
            <w:r>
              <w:t>o</w:t>
            </w:r>
            <w:r w:rsidRPr="00945E1F">
              <w:t xml:space="preserve">vertime 30 </w:t>
            </w:r>
            <w:r>
              <w:t>p</w:t>
            </w:r>
            <w:r w:rsidRPr="00945E1F">
              <w:t xml:space="preserve">ercent and </w:t>
            </w:r>
            <w:r>
              <w:t>i</w:t>
            </w:r>
            <w:r w:rsidRPr="00945E1F">
              <w:t xml:space="preserve">ncreased </w:t>
            </w:r>
            <w:r>
              <w:t>p</w:t>
            </w:r>
            <w:r w:rsidRPr="00945E1F">
              <w:t xml:space="preserve">roductivity 8 </w:t>
            </w:r>
            <w:r>
              <w:t>p</w:t>
            </w:r>
            <w:r w:rsidRPr="00945E1F">
              <w:t>ercent</w:t>
            </w:r>
          </w:p>
          <w:p w:rsidR="00D50931" w:rsidRDefault="0014120C" w:rsidP="00742EE2">
            <w:pPr>
              <w:pStyle w:val="Bullet"/>
              <w:tabs>
                <w:tab w:val="clear" w:pos="170"/>
                <w:tab w:val="clear" w:pos="360"/>
              </w:tabs>
              <w:spacing w:line="240" w:lineRule="atLeast"/>
              <w:ind w:left="180" w:hanging="180"/>
              <w:rPr>
                <w:lang w:val="en-GB"/>
              </w:rPr>
            </w:pPr>
            <w:r w:rsidRPr="00945E1F">
              <w:t xml:space="preserve">Achieved </w:t>
            </w:r>
            <w:r>
              <w:t>t</w:t>
            </w:r>
            <w:r w:rsidRPr="00945E1F">
              <w:t>wo-</w:t>
            </w:r>
            <w:r>
              <w:t>year p</w:t>
            </w:r>
            <w:r w:rsidRPr="00945E1F">
              <w:t>ayback</w:t>
            </w:r>
          </w:p>
          <w:p w:rsidR="00D50931" w:rsidRPr="0014120C" w:rsidRDefault="0014120C" w:rsidP="00742EE2">
            <w:pPr>
              <w:pStyle w:val="Bullet"/>
              <w:tabs>
                <w:tab w:val="clear" w:pos="170"/>
                <w:tab w:val="clear" w:pos="360"/>
              </w:tabs>
              <w:ind w:left="180" w:hanging="180"/>
              <w:rPr>
                <w:lang w:val="en-GB"/>
              </w:rPr>
            </w:pPr>
            <w:r w:rsidRPr="00EB30FB">
              <w:t>Gain</w:t>
            </w:r>
            <w:r>
              <w:t>ed</w:t>
            </w:r>
            <w:r w:rsidRPr="00EB30FB">
              <w:t xml:space="preserve"> </w:t>
            </w:r>
            <w:r>
              <w:t>f</w:t>
            </w:r>
            <w:r w:rsidRPr="00EB30FB">
              <w:t>lexibility</w:t>
            </w:r>
          </w:p>
          <w:p w:rsidR="0014120C" w:rsidRPr="0014120C" w:rsidRDefault="0014120C" w:rsidP="00742EE2">
            <w:pPr>
              <w:pStyle w:val="Bullet"/>
              <w:tabs>
                <w:tab w:val="clear" w:pos="170"/>
                <w:tab w:val="clear" w:pos="360"/>
              </w:tabs>
              <w:ind w:left="180" w:hanging="180"/>
              <w:rPr>
                <w:lang w:val="en-GB"/>
              </w:rPr>
            </w:pPr>
            <w:r w:rsidRPr="00945E1F">
              <w:t xml:space="preserve">Eased </w:t>
            </w:r>
            <w:r>
              <w:t>t</w:t>
            </w:r>
            <w:r w:rsidRPr="00945E1F">
              <w:t xml:space="preserve">raining, </w:t>
            </w:r>
            <w:r>
              <w:t>a</w:t>
            </w:r>
            <w:r w:rsidRPr="00945E1F">
              <w:t xml:space="preserve">doption, and </w:t>
            </w:r>
            <w:r>
              <w:t>h</w:t>
            </w:r>
            <w:r w:rsidRPr="00945E1F">
              <w:t>iring</w:t>
            </w:r>
          </w:p>
          <w:p w:rsidR="0014120C" w:rsidRDefault="0014120C" w:rsidP="00742EE2">
            <w:pPr>
              <w:pStyle w:val="Bullet"/>
              <w:tabs>
                <w:tab w:val="clear" w:pos="170"/>
                <w:tab w:val="clear" w:pos="360"/>
              </w:tabs>
              <w:ind w:left="180" w:hanging="180"/>
              <w:rPr>
                <w:lang w:val="en-GB"/>
              </w:rPr>
            </w:pPr>
            <w:r>
              <w:t>Simplified</w:t>
            </w:r>
            <w:r w:rsidRPr="00EB30FB">
              <w:t xml:space="preserve"> </w:t>
            </w:r>
            <w:r>
              <w:t>c</w:t>
            </w:r>
            <w:r w:rsidRPr="00EB30FB">
              <w:t>ompliance</w:t>
            </w:r>
          </w:p>
        </w:tc>
        <w:tc>
          <w:tcPr>
            <w:tcW w:w="284" w:type="dxa"/>
            <w:tcBorders>
              <w:left w:val="nil"/>
              <w:right w:val="single" w:sz="8" w:space="0" w:color="A0A0A0"/>
            </w:tcBorders>
          </w:tcPr>
          <w:p w:rsidR="003119F1" w:rsidRPr="00D72ECF" w:rsidRDefault="003119F1">
            <w:pPr>
              <w:rPr>
                <w:lang w:val="en-US"/>
              </w:rPr>
            </w:pPr>
          </w:p>
        </w:tc>
        <w:tc>
          <w:tcPr>
            <w:tcW w:w="284" w:type="dxa"/>
            <w:tcBorders>
              <w:left w:val="single" w:sz="8" w:space="0" w:color="A0A0A0"/>
            </w:tcBorders>
          </w:tcPr>
          <w:p w:rsidR="003119F1" w:rsidRPr="00D72ECF" w:rsidRDefault="003119F1">
            <w:pPr>
              <w:rPr>
                <w:lang w:val="en-US"/>
              </w:rPr>
            </w:pPr>
          </w:p>
        </w:tc>
        <w:tc>
          <w:tcPr>
            <w:tcW w:w="6861" w:type="dxa"/>
          </w:tcPr>
          <w:p w:rsidR="003119F1" w:rsidRPr="00AC20C7" w:rsidRDefault="00053CD7" w:rsidP="00AC20C7">
            <w:pPr>
              <w:pStyle w:val="Pullquote"/>
            </w:pPr>
            <w:r w:rsidRPr="00D72ECF">
              <w:t>“</w:t>
            </w:r>
            <w:r w:rsidR="005F6F8A" w:rsidRPr="005F6F8A">
              <w:t>We realized full payback within two years after deploying Microsoft Dynamics NAV.</w:t>
            </w:r>
            <w:r w:rsidRPr="00D72ECF">
              <w:t>”</w:t>
            </w:r>
          </w:p>
          <w:p w:rsidR="003119F1" w:rsidRPr="00D72ECF" w:rsidRDefault="005F6F8A" w:rsidP="00AC20C7">
            <w:pPr>
              <w:pStyle w:val="PullQuotecredit"/>
              <w:rPr>
                <w:color w:val="FF9900"/>
              </w:rPr>
            </w:pPr>
            <w:r w:rsidRPr="005F6F8A">
              <w:t>Klas Elmroth, Finance Director of Support Services, Thomas Cook Northern Europe</w:t>
            </w:r>
            <w:r w:rsidR="003E7038" w:rsidRPr="003E7038">
              <w:t xml:space="preserve"> </w:t>
            </w:r>
          </w:p>
        </w:tc>
      </w:tr>
      <w:tr w:rsidR="003119F1" w:rsidRPr="00D72ECF" w:rsidTr="00670075">
        <w:trPr>
          <w:cantSplit/>
          <w:trHeight w:hRule="exact" w:val="6327"/>
        </w:trPr>
        <w:tc>
          <w:tcPr>
            <w:tcW w:w="3119" w:type="dxa"/>
            <w:vMerge/>
          </w:tcPr>
          <w:p w:rsidR="003119F1" w:rsidRPr="00D72ECF" w:rsidRDefault="003119F1">
            <w:pPr>
              <w:pStyle w:val="Bodycopy"/>
            </w:pPr>
          </w:p>
        </w:tc>
        <w:tc>
          <w:tcPr>
            <w:tcW w:w="284" w:type="dxa"/>
            <w:tcBorders>
              <w:left w:val="nil"/>
              <w:right w:val="single" w:sz="8" w:space="0" w:color="A0A0A0"/>
            </w:tcBorders>
          </w:tcPr>
          <w:p w:rsidR="003119F1" w:rsidRPr="00D72ECF" w:rsidRDefault="003119F1">
            <w:pPr>
              <w:pStyle w:val="Bodycopy"/>
            </w:pPr>
          </w:p>
        </w:tc>
        <w:tc>
          <w:tcPr>
            <w:tcW w:w="284" w:type="dxa"/>
            <w:tcBorders>
              <w:left w:val="single" w:sz="8" w:space="0" w:color="A0A0A0"/>
            </w:tcBorders>
          </w:tcPr>
          <w:p w:rsidR="003119F1" w:rsidRPr="00D72ECF" w:rsidRDefault="003119F1">
            <w:pPr>
              <w:pStyle w:val="Bodycopy"/>
            </w:pPr>
          </w:p>
        </w:tc>
        <w:tc>
          <w:tcPr>
            <w:tcW w:w="6861" w:type="dxa"/>
          </w:tcPr>
          <w:p w:rsidR="00D50931" w:rsidRPr="00D50931" w:rsidRDefault="005F6F8A" w:rsidP="00D50931">
            <w:pPr>
              <w:pStyle w:val="StandFirstIntroduction"/>
              <w:rPr>
                <w:lang w:val="en-US"/>
              </w:rPr>
            </w:pPr>
            <w:r w:rsidRPr="005F6F8A">
              <w:rPr>
                <w:lang w:val="en-US"/>
              </w:rPr>
              <w:t>Thomas Cook Northern Europe provides travel services</w:t>
            </w:r>
            <w:r w:rsidR="00742EE2">
              <w:rPr>
                <w:lang w:val="en-US"/>
              </w:rPr>
              <w:t>,</w:t>
            </w:r>
            <w:r w:rsidRPr="005F6F8A">
              <w:rPr>
                <w:lang w:val="en-US"/>
              </w:rPr>
              <w:t xml:space="preserve"> including flight and hotel purchasing and destination management</w:t>
            </w:r>
            <w:r w:rsidR="00742EE2">
              <w:rPr>
                <w:lang w:val="en-US"/>
              </w:rPr>
              <w:t>,</w:t>
            </w:r>
            <w:r w:rsidRPr="005F6F8A">
              <w:rPr>
                <w:lang w:val="en-US"/>
              </w:rPr>
              <w:t xml:space="preserve"> to 200 locations across 40 countries. Facing a costly and mandatory upgrade of Lawson Insight, Thomas Cook Northern Europe considered moving to a new system for financial management. After examining SAP, the company decided on Microsoft Dynamics NAV </w:t>
            </w:r>
            <w:r w:rsidR="00EC327B">
              <w:rPr>
                <w:lang w:val="en-US"/>
              </w:rPr>
              <w:t>because of</w:t>
            </w:r>
            <w:r w:rsidRPr="005F6F8A">
              <w:rPr>
                <w:lang w:val="en-US"/>
              </w:rPr>
              <w:t xml:space="preserve"> its </w:t>
            </w:r>
            <w:r w:rsidR="00EC327B">
              <w:rPr>
                <w:lang w:val="en-US"/>
              </w:rPr>
              <w:t>capabilities</w:t>
            </w:r>
            <w:r w:rsidRPr="005F6F8A">
              <w:rPr>
                <w:lang w:val="en-US"/>
              </w:rPr>
              <w:t>, flexibility, and ease</w:t>
            </w:r>
            <w:r w:rsidR="00742EE2">
              <w:rPr>
                <w:lang w:val="en-US"/>
              </w:rPr>
              <w:t>-</w:t>
            </w:r>
            <w:r w:rsidRPr="005F6F8A">
              <w:rPr>
                <w:lang w:val="en-US"/>
              </w:rPr>
              <w:t>of</w:t>
            </w:r>
            <w:r w:rsidR="00742EE2">
              <w:rPr>
                <w:lang w:val="en-US"/>
              </w:rPr>
              <w:t>-</w:t>
            </w:r>
            <w:r w:rsidRPr="005F6F8A">
              <w:rPr>
                <w:lang w:val="en-US"/>
              </w:rPr>
              <w:t>use. Working closely with Microsoft Gold Certified Partner NAB Solutions, Thomas Cook Northern Europe implemented the solution in only four months, completing the deployment to coincide with the onset of a new financial year. Since deployment, the company has improved accounting productivity 8 percent, reduced overtime in accounting 30 percent, achieved a full payback in two years, and greatly improved user adoption and training, simplifying hiring in the future.</w:t>
            </w:r>
          </w:p>
          <w:p w:rsidR="003119F1" w:rsidRPr="00D72ECF" w:rsidRDefault="003119F1" w:rsidP="00CC44B9">
            <w:pPr>
              <w:pStyle w:val="NoSpacing"/>
            </w:pPr>
          </w:p>
        </w:tc>
      </w:tr>
      <w:tr w:rsidR="003119F1" w:rsidRPr="00D72ECF">
        <w:trPr>
          <w:cantSplit/>
          <w:trHeight w:hRule="exact" w:val="180"/>
        </w:trPr>
        <w:tc>
          <w:tcPr>
            <w:tcW w:w="3119" w:type="dxa"/>
          </w:tcPr>
          <w:p w:rsidR="003119F1" w:rsidRPr="00D72ECF" w:rsidRDefault="003119F1">
            <w:pPr>
              <w:rPr>
                <w:lang w:val="en-US"/>
              </w:rPr>
            </w:pPr>
          </w:p>
        </w:tc>
        <w:tc>
          <w:tcPr>
            <w:tcW w:w="284" w:type="dxa"/>
            <w:tcBorders>
              <w:left w:val="nil"/>
              <w:right w:val="single" w:sz="8" w:space="0" w:color="A0A0A0"/>
            </w:tcBorders>
          </w:tcPr>
          <w:p w:rsidR="003119F1" w:rsidRPr="00D72ECF" w:rsidRDefault="003119F1">
            <w:pPr>
              <w:rPr>
                <w:lang w:val="en-US"/>
              </w:rPr>
            </w:pPr>
          </w:p>
        </w:tc>
        <w:tc>
          <w:tcPr>
            <w:tcW w:w="284" w:type="dxa"/>
            <w:tcBorders>
              <w:left w:val="single" w:sz="8" w:space="0" w:color="A0A0A0"/>
            </w:tcBorders>
          </w:tcPr>
          <w:p w:rsidR="003119F1" w:rsidRPr="00D72ECF" w:rsidRDefault="003119F1">
            <w:pPr>
              <w:rPr>
                <w:lang w:val="en-US"/>
              </w:rPr>
            </w:pPr>
          </w:p>
        </w:tc>
        <w:tc>
          <w:tcPr>
            <w:tcW w:w="6861" w:type="dxa"/>
          </w:tcPr>
          <w:p w:rsidR="003119F1" w:rsidRPr="006950FD" w:rsidRDefault="003119F1" w:rsidP="006950FD">
            <w:pPr>
              <w:pStyle w:val="StandFirstIntroduction"/>
              <w:rPr>
                <w:lang w:val="en-US"/>
              </w:rPr>
            </w:pPr>
          </w:p>
        </w:tc>
      </w:tr>
      <w:tr w:rsidR="003119F1" w:rsidRPr="00D72ECF" w:rsidTr="00053CD7">
        <w:trPr>
          <w:cantSplit/>
          <w:trHeight w:val="1260"/>
        </w:trPr>
        <w:tc>
          <w:tcPr>
            <w:tcW w:w="3119" w:type="dxa"/>
            <w:vMerge w:val="restart"/>
            <w:vAlign w:val="bottom"/>
          </w:tcPr>
          <w:p w:rsidR="003119F1" w:rsidRPr="00D72ECF" w:rsidRDefault="001F6C71">
            <w:pPr>
              <w:rPr>
                <w:lang w:val="en-US"/>
              </w:rPr>
            </w:pPr>
            <w:r>
              <w:rPr>
                <w:noProof/>
                <w:lang w:val="en-US" w:eastAsia="ja-JP"/>
              </w:rPr>
              <w:drawing>
                <wp:inline distT="0" distB="0" distL="0" distR="0" wp14:anchorId="06DEAF11" wp14:editId="27EEDFC4">
                  <wp:extent cx="1097280" cy="382470"/>
                  <wp:effectExtent l="0" t="0" r="0" b="0"/>
                  <wp:docPr id="16" name="Picture 16" descr="C:\Users\chris\Documents\MDCE\Thomas Cook\NABlogo_SV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Documents\MDCE\Thomas Cook\NABlogo_SVV.eps"/>
                          <pic:cNvPicPr>
                            <a:picLocks noChangeAspect="1" noChangeArrowheads="1"/>
                          </pic:cNvPicPr>
                        </pic:nvPicPr>
                        <pic:blipFill>
                          <a:blip r:embed="rId13" cstate="print"/>
                          <a:srcRect/>
                          <a:stretch>
                            <a:fillRect/>
                          </a:stretch>
                        </pic:blipFill>
                        <pic:spPr bwMode="auto">
                          <a:xfrm>
                            <a:off x="0" y="0"/>
                            <a:ext cx="1097280" cy="382470"/>
                          </a:xfrm>
                          <a:prstGeom prst="rect">
                            <a:avLst/>
                          </a:prstGeom>
                          <a:noFill/>
                          <a:ln w="9525">
                            <a:noFill/>
                            <a:miter lim="800000"/>
                            <a:headEnd/>
                            <a:tailEnd/>
                          </a:ln>
                        </pic:spPr>
                      </pic:pic>
                    </a:graphicData>
                  </a:graphic>
                </wp:inline>
              </w:drawing>
            </w:r>
          </w:p>
        </w:tc>
        <w:tc>
          <w:tcPr>
            <w:tcW w:w="284" w:type="dxa"/>
            <w:tcBorders>
              <w:left w:val="nil"/>
              <w:right w:val="single" w:sz="8" w:space="0" w:color="A0A0A0"/>
            </w:tcBorders>
          </w:tcPr>
          <w:p w:rsidR="003119F1" w:rsidRPr="00D72ECF" w:rsidRDefault="003119F1">
            <w:pPr>
              <w:rPr>
                <w:lang w:val="en-US"/>
              </w:rPr>
            </w:pPr>
          </w:p>
        </w:tc>
        <w:tc>
          <w:tcPr>
            <w:tcW w:w="284" w:type="dxa"/>
            <w:vMerge w:val="restart"/>
            <w:tcBorders>
              <w:left w:val="single" w:sz="8" w:space="0" w:color="A0A0A0"/>
            </w:tcBorders>
          </w:tcPr>
          <w:p w:rsidR="003119F1" w:rsidRPr="00D72ECF" w:rsidRDefault="003119F1">
            <w:pPr>
              <w:rPr>
                <w:lang w:val="en-US"/>
              </w:rPr>
            </w:pPr>
          </w:p>
        </w:tc>
        <w:tc>
          <w:tcPr>
            <w:tcW w:w="6861" w:type="dxa"/>
            <w:vMerge w:val="restart"/>
            <w:vAlign w:val="bottom"/>
          </w:tcPr>
          <w:p w:rsidR="003119F1" w:rsidRPr="00D72ECF" w:rsidRDefault="00DD2260">
            <w:pPr>
              <w:jc w:val="right"/>
              <w:rPr>
                <w:color w:val="FF9900"/>
                <w:lang w:val="en-US"/>
              </w:rPr>
            </w:pPr>
            <w:r>
              <w:rPr>
                <w:color w:val="FF9900"/>
                <w:lang w:val="en-US"/>
              </w:rPr>
              <w:pict>
                <v:shape id="_x0000_i1025" type="#_x0000_t75" style="width:4in;height:1in">
                  <v:imagedata r:id="rId14" o:title="CEPFiles_logo_MSDynamics" croptop="7816f"/>
                </v:shape>
              </w:pict>
            </w:r>
          </w:p>
        </w:tc>
      </w:tr>
      <w:tr w:rsidR="003119F1" w:rsidRPr="00D72ECF">
        <w:trPr>
          <w:cantSplit/>
          <w:trHeight w:val="80"/>
        </w:trPr>
        <w:tc>
          <w:tcPr>
            <w:tcW w:w="3119" w:type="dxa"/>
            <w:vMerge/>
            <w:vAlign w:val="bottom"/>
          </w:tcPr>
          <w:p w:rsidR="003119F1" w:rsidRPr="00D72ECF" w:rsidRDefault="003119F1">
            <w:pPr>
              <w:rPr>
                <w:lang w:val="en-US"/>
              </w:rPr>
            </w:pPr>
          </w:p>
        </w:tc>
        <w:tc>
          <w:tcPr>
            <w:tcW w:w="284" w:type="dxa"/>
            <w:tcBorders>
              <w:left w:val="nil"/>
              <w:right w:val="single" w:sz="8" w:space="0" w:color="A0A0A0"/>
            </w:tcBorders>
          </w:tcPr>
          <w:p w:rsidR="003119F1" w:rsidRPr="00D72ECF" w:rsidRDefault="003119F1">
            <w:pPr>
              <w:rPr>
                <w:sz w:val="12"/>
                <w:lang w:val="en-US"/>
              </w:rPr>
            </w:pPr>
          </w:p>
        </w:tc>
        <w:tc>
          <w:tcPr>
            <w:tcW w:w="284" w:type="dxa"/>
            <w:vMerge/>
            <w:tcBorders>
              <w:left w:val="single" w:sz="8" w:space="0" w:color="A0A0A0"/>
            </w:tcBorders>
          </w:tcPr>
          <w:p w:rsidR="003119F1" w:rsidRPr="00D72ECF" w:rsidRDefault="003119F1">
            <w:pPr>
              <w:rPr>
                <w:lang w:val="en-US"/>
              </w:rPr>
            </w:pPr>
          </w:p>
        </w:tc>
        <w:tc>
          <w:tcPr>
            <w:tcW w:w="6861" w:type="dxa"/>
            <w:vMerge/>
            <w:vAlign w:val="bottom"/>
          </w:tcPr>
          <w:p w:rsidR="003119F1" w:rsidRPr="00D72ECF" w:rsidRDefault="003119F1">
            <w:pPr>
              <w:jc w:val="right"/>
              <w:rPr>
                <w:color w:val="FF9900"/>
                <w:lang w:val="en-US"/>
              </w:rPr>
            </w:pPr>
          </w:p>
        </w:tc>
      </w:tr>
    </w:tbl>
    <w:p w:rsidR="003119F1" w:rsidRPr="00D72ECF" w:rsidRDefault="003119F1">
      <w:pPr>
        <w:rPr>
          <w:sz w:val="2"/>
          <w:lang w:val="en-US"/>
        </w:rPr>
      </w:pPr>
    </w:p>
    <w:p w:rsidR="003119F1" w:rsidRPr="00D72ECF" w:rsidRDefault="003119F1">
      <w:pPr>
        <w:rPr>
          <w:sz w:val="2"/>
          <w:lang w:val="en-US"/>
        </w:rPr>
        <w:sectPr w:rsidR="003119F1" w:rsidRPr="00D72ECF" w:rsidSect="00A95AEB">
          <w:headerReference w:type="even" r:id="rId15"/>
          <w:headerReference w:type="default" r:id="rId16"/>
          <w:footerReference w:type="even" r:id="rId17"/>
          <w:footerReference w:type="default" r:id="rId18"/>
          <w:headerReference w:type="first" r:id="rId19"/>
          <w:footerReference w:type="first" r:id="rId20"/>
          <w:pgSz w:w="12242" w:h="15842" w:code="1"/>
          <w:pgMar w:top="0" w:right="851" w:bottom="199" w:left="851" w:header="0" w:footer="301" w:gutter="0"/>
          <w:cols w:space="227"/>
          <w:docGrid w:linePitch="360"/>
        </w:sectPr>
      </w:pPr>
    </w:p>
    <w:p w:rsidR="003119F1" w:rsidRPr="00D72ECF" w:rsidRDefault="00B72AA7" w:rsidP="009A38CD">
      <w:pPr>
        <w:pStyle w:val="SectionHeading"/>
      </w:pPr>
      <w:r>
        <w:rPr>
          <w:sz w:val="20"/>
        </w:rPr>
        <w:lastRenderedPageBreak/>
        <w:pict>
          <v:shapetype id="_x0000_t202" coordsize="21600,21600" o:spt="202" path="m,l,21600r21600,l21600,xe">
            <v:stroke joinstyle="miter"/>
            <v:path gradientshapeok="t" o:connecttype="rect"/>
          </v:shapetype>
          <v:shape id="_x0000_s1030" type="#_x0000_t202" style="position:absolute;margin-left:42.55pt;margin-top:-2.9pt;width:159.05pt;height:287.2pt;z-index:251659264;mso-position-horizontal-relative:page" stroked="f">
            <v:textbox style="mso-next-textbox:#_x0000_s1030"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8F2DBF">
                    <w:tc>
                      <w:tcPr>
                        <w:tcW w:w="3133" w:type="dxa"/>
                        <w:tcBorders>
                          <w:top w:val="nil"/>
                          <w:left w:val="nil"/>
                          <w:bottom w:val="nil"/>
                          <w:right w:val="nil"/>
                        </w:tcBorders>
                      </w:tcPr>
                      <w:p w:rsidR="008F2DBF" w:rsidRDefault="008F2DBF">
                        <w:pPr>
                          <w:pStyle w:val="Pullquote"/>
                        </w:pPr>
                        <w:r w:rsidRPr="00516B87">
                          <w:t>“</w:t>
                        </w:r>
                        <w:r w:rsidRPr="00E00358">
                          <w:t>…</w:t>
                        </w:r>
                        <w:r w:rsidR="00AA70C2">
                          <w:t xml:space="preserve"> </w:t>
                        </w:r>
                        <w:r w:rsidRPr="00E00358">
                          <w:t>[W]e were able to implement Microsoft Dynamics NAV in an extremely short period of time. We closed the books in Lawson Insight on September 30 and began using Microsoft Dynamics NAV on October 1.</w:t>
                        </w:r>
                        <w:r w:rsidRPr="00516B87">
                          <w:t>”</w:t>
                        </w:r>
                      </w:p>
                      <w:p w:rsidR="008F2DBF" w:rsidRDefault="008F2DBF" w:rsidP="00403F0B">
                        <w:pPr>
                          <w:pStyle w:val="PullQuotecredit"/>
                        </w:pPr>
                        <w:r w:rsidRPr="00E00358">
                          <w:t>Carina Löö</w:t>
                        </w:r>
                        <w:r>
                          <w:t>f</w:t>
                        </w:r>
                        <w:r w:rsidRPr="00E00358">
                          <w:t>, Finance Manager of Shared Services</w:t>
                        </w:r>
                        <w:r>
                          <w:t xml:space="preserve">, </w:t>
                        </w:r>
                        <w:r w:rsidRPr="00E00358">
                          <w:t xml:space="preserve">Thomas Cook Northern Europe </w:t>
                        </w:r>
                      </w:p>
                    </w:tc>
                  </w:tr>
                </w:tbl>
                <w:p w:rsidR="008F2DBF" w:rsidRDefault="008F2DBF">
                  <w:pPr>
                    <w:pStyle w:val="PullQuotecredit"/>
                  </w:pPr>
                </w:p>
              </w:txbxContent>
            </v:textbox>
            <w10:wrap anchorx="page"/>
            <w10:anchorlock/>
          </v:shape>
        </w:pict>
      </w:r>
      <w:r w:rsidR="009A38CD" w:rsidRPr="00D72ECF">
        <w:t>Situation</w:t>
      </w:r>
    </w:p>
    <w:p w:rsidR="007458C0" w:rsidRDefault="007458C0" w:rsidP="007458C0">
      <w:pPr>
        <w:pStyle w:val="Bodycopy"/>
      </w:pPr>
      <w:r>
        <w:t xml:space="preserve">Part of the British </w:t>
      </w:r>
      <w:r w:rsidR="0067712F">
        <w:t>g</w:t>
      </w:r>
      <w:r>
        <w:t xml:space="preserve">roup Thomas Cook, </w:t>
      </w:r>
      <w:hyperlink r:id="rId21" w:history="1">
        <w:r w:rsidRPr="007458C0">
          <w:rPr>
            <w:rStyle w:val="Hyperlink"/>
          </w:rPr>
          <w:t>Thomas Cook Northern Europe</w:t>
        </w:r>
      </w:hyperlink>
      <w:r>
        <w:t xml:space="preserve"> has 2,800 employees across Norway, Denmark, Finland, and Sweden, and has been in the travel industry for more than 50 years. The company provides travel services</w:t>
      </w:r>
      <w:r w:rsidR="00B1792E">
        <w:t>,</w:t>
      </w:r>
      <w:r>
        <w:t xml:space="preserve"> including flight and hotel purchasing and destination management</w:t>
      </w:r>
      <w:r w:rsidR="00B1792E">
        <w:t>,</w:t>
      </w:r>
      <w:r>
        <w:t xml:space="preserve"> to 200 locations across 40 countries. In 2009, Thomas Cook Northern Europe sold 1.5 million vacations and drove annual revenue of </w:t>
      </w:r>
      <w:r w:rsidR="00742EE2" w:rsidRPr="00742EE2">
        <w:t>kr</w:t>
      </w:r>
      <w:r>
        <w:t>13 billion (approximately U.S.$1.8 billion).</w:t>
      </w:r>
    </w:p>
    <w:p w:rsidR="007458C0" w:rsidRDefault="007458C0" w:rsidP="007458C0">
      <w:pPr>
        <w:pStyle w:val="Bodycopy"/>
      </w:pPr>
    </w:p>
    <w:p w:rsidR="007458C0" w:rsidRDefault="007458C0" w:rsidP="007458C0">
      <w:pPr>
        <w:pStyle w:val="Bodycopy"/>
      </w:pPr>
      <w:r>
        <w:t xml:space="preserve">With the majority of its customers booking trips online, Thomas Cook Northern Europe recognizes the need to maintain an effective IT environment with capabilities spanning from booking to financial management and banking. For financial management, Thomas Cook Northern Europe previously relied on Lawson Insight. When the system came up for a costly and mandatory upgrade in </w:t>
      </w:r>
      <w:r w:rsidR="00742EE2">
        <w:t>s</w:t>
      </w:r>
      <w:r>
        <w:t xml:space="preserve">pring 2008, company leadership at Thomas Cook Northern Europe took a second look at the solution. </w:t>
      </w:r>
      <w:r w:rsidR="00742EE2">
        <w:t xml:space="preserve">Says </w:t>
      </w:r>
      <w:r>
        <w:t xml:space="preserve">Klas Elmroth, Finance Director of Support Services for Thomas Cook Northern Europe, “Upgrading Lawson Insight was something we were going to be forced to do, and we felt it was very expensive and added no real benefit to our company.” </w:t>
      </w:r>
    </w:p>
    <w:p w:rsidR="007458C0" w:rsidRDefault="007458C0" w:rsidP="007458C0">
      <w:pPr>
        <w:pStyle w:val="Bodycopy"/>
      </w:pPr>
    </w:p>
    <w:p w:rsidR="007458C0" w:rsidRDefault="007458C0" w:rsidP="007458C0">
      <w:pPr>
        <w:pStyle w:val="Bodycopy"/>
      </w:pPr>
      <w:r>
        <w:t xml:space="preserve">In fact, the upgrade would have cost Thomas Cook Northern Europe around </w:t>
      </w:r>
      <w:r w:rsidR="00E33554">
        <w:t>kr</w:t>
      </w:r>
      <w:r>
        <w:t>1.5 million (approximately U.S.$208,800). The expense only amplified what the company already felt to be shortcomings with the existing system. Says Carina Löö</w:t>
      </w:r>
      <w:r w:rsidR="00403F0B">
        <w:t>f</w:t>
      </w:r>
      <w:r>
        <w:t>, Finance Manager of Shared Services for Thomas Cook Northern Europe, “Lawson Insight was not user</w:t>
      </w:r>
      <w:r w:rsidR="0067712F">
        <w:t>-</w:t>
      </w:r>
      <w:r>
        <w:t>friendly and took as much as 15 minutes to get into. Also, it didn’t work with Microsoft Excel</w:t>
      </w:r>
      <w:r w:rsidR="00E33554">
        <w:t>,</w:t>
      </w:r>
      <w:r>
        <w:t xml:space="preserve"> because it was almost 10 years old</w:t>
      </w:r>
      <w:r w:rsidR="00E33554">
        <w:t>;</w:t>
      </w:r>
      <w:r>
        <w:t xml:space="preserve"> had more functionality than we needed</w:t>
      </w:r>
      <w:r w:rsidR="00E33554">
        <w:t>;</w:t>
      </w:r>
      <w:r>
        <w:t xml:space="preserve"> and was only </w:t>
      </w:r>
      <w:r>
        <w:lastRenderedPageBreak/>
        <w:t xml:space="preserve">supported by one company in Scandinavia, locking us in to working with them and slowing our ability to customize the solution to our unique needs.” </w:t>
      </w:r>
    </w:p>
    <w:p w:rsidR="007458C0" w:rsidRDefault="007458C0" w:rsidP="007458C0">
      <w:pPr>
        <w:pStyle w:val="Bodycopy"/>
      </w:pPr>
    </w:p>
    <w:p w:rsidR="007458C0" w:rsidRDefault="007458C0" w:rsidP="007458C0">
      <w:pPr>
        <w:pStyle w:val="Bodycopy"/>
      </w:pPr>
      <w:r>
        <w:t xml:space="preserve">Given the price of upgrading and shortcomings with the existing </w:t>
      </w:r>
      <w:r w:rsidR="00DD2260">
        <w:t>technology</w:t>
      </w:r>
      <w:r>
        <w:t xml:space="preserve">, leadership at Thomas Cook Northern Europe considered the benefits of moving to a new financial management solution. With the upcoming transition to a new financial year, the company would need to implement the solution in only four months, so </w:t>
      </w:r>
      <w:r w:rsidR="00E33554">
        <w:t xml:space="preserve">leadership </w:t>
      </w:r>
      <w:r>
        <w:t>looked closely at two solutions</w:t>
      </w:r>
      <w:r w:rsidR="00E33554">
        <w:t xml:space="preserve"> that</w:t>
      </w:r>
      <w:r>
        <w:t xml:space="preserve"> other Thomas Cook groups were already using: SAP and </w:t>
      </w:r>
      <w:hyperlink r:id="rId22" w:history="1">
        <w:r w:rsidRPr="007458C0">
          <w:rPr>
            <w:rStyle w:val="Hyperlink"/>
          </w:rPr>
          <w:t>Microsoft Dynamics NAV</w:t>
        </w:r>
      </w:hyperlink>
      <w:r>
        <w:t xml:space="preserve">. </w:t>
      </w:r>
      <w:r w:rsidR="00E33554">
        <w:t>After researching the solutions</w:t>
      </w:r>
      <w:r>
        <w:t>, Thomas Cook Northern Europe decided on Microsoft Dynamics NAV. “Picking Microsoft Dynamics NAV over SAP was not a difficult choice,” says Löö</w:t>
      </w:r>
      <w:r w:rsidR="00403F0B">
        <w:t>f</w:t>
      </w:r>
      <w:r>
        <w:t xml:space="preserve">. “SAP was very similar to Lawson Insight: </w:t>
      </w:r>
      <w:r w:rsidR="00E33554">
        <w:t>B</w:t>
      </w:r>
      <w:r>
        <w:t>oth were not easy to use and were huge systems that were fine for very large companies that engaged in complex manufacturing and distribution but not the right fit for us—a smaller services firm.”</w:t>
      </w:r>
    </w:p>
    <w:p w:rsidR="007458C0" w:rsidRDefault="007458C0" w:rsidP="007458C0">
      <w:pPr>
        <w:pStyle w:val="Bodycopy"/>
      </w:pPr>
    </w:p>
    <w:p w:rsidR="00E56CAC" w:rsidRPr="00516B87" w:rsidRDefault="007458C0" w:rsidP="007458C0">
      <w:pPr>
        <w:pStyle w:val="Bodycopy"/>
      </w:pPr>
      <w:r>
        <w:t xml:space="preserve">Adds Elmroth, “In addition, we felt that </w:t>
      </w:r>
      <w:r w:rsidR="00E33554">
        <w:t xml:space="preserve">Microsoft partners in Scandinavia </w:t>
      </w:r>
      <w:r w:rsidR="006941E3">
        <w:t>provide excellent</w:t>
      </w:r>
      <w:r w:rsidR="00E33554">
        <w:t xml:space="preserve"> support </w:t>
      </w:r>
      <w:r w:rsidR="006941E3">
        <w:t xml:space="preserve">for </w:t>
      </w:r>
      <w:r>
        <w:t>Microsoft Dynamics NAV. We knew we would have freedom of choice in who</w:t>
      </w:r>
      <w:r w:rsidR="00E33554">
        <w:t>m</w:t>
      </w:r>
      <w:r>
        <w:t xml:space="preserve"> we worked with and were certain that we could get solution enhancements and adjustments we might need now and in the future.”</w:t>
      </w:r>
    </w:p>
    <w:p w:rsidR="009A38CD" w:rsidRPr="00D72ECF" w:rsidRDefault="009A38CD">
      <w:pPr>
        <w:pStyle w:val="Bodycopy"/>
      </w:pPr>
    </w:p>
    <w:p w:rsidR="003119F1" w:rsidRPr="00D72ECF" w:rsidRDefault="003119F1">
      <w:pPr>
        <w:pStyle w:val="SectionHeading"/>
      </w:pPr>
      <w:r w:rsidRPr="00D72ECF">
        <w:t>Solution</w:t>
      </w:r>
    </w:p>
    <w:p w:rsidR="007458C0" w:rsidRPr="007458C0" w:rsidRDefault="007458C0" w:rsidP="007458C0">
      <w:pPr>
        <w:pStyle w:val="Bodycopyheading"/>
        <w:rPr>
          <w:b w:val="0"/>
          <w:szCs w:val="24"/>
        </w:rPr>
      </w:pPr>
      <w:r w:rsidRPr="007458C0">
        <w:rPr>
          <w:b w:val="0"/>
          <w:szCs w:val="24"/>
        </w:rPr>
        <w:t>Working closely with Microsoft Gold Certified Partner NAB Solutions, Thomas Cook Northern Europe implemented Microsoft Dynamics NAV in only four months</w:t>
      </w:r>
      <w:r w:rsidR="00A15A32">
        <w:rPr>
          <w:b w:val="0"/>
          <w:szCs w:val="24"/>
        </w:rPr>
        <w:t xml:space="preserve"> during the short Swedish summer, when most people take vacation and a number of contributors had to leave or join the project in midstream. Even so, Thomas Cook Northern Europe completed the </w:t>
      </w:r>
      <w:r w:rsidR="00A15A32">
        <w:rPr>
          <w:b w:val="0"/>
          <w:szCs w:val="24"/>
        </w:rPr>
        <w:lastRenderedPageBreak/>
        <w:t>implementation</w:t>
      </w:r>
      <w:r w:rsidRPr="007458C0">
        <w:rPr>
          <w:b w:val="0"/>
          <w:szCs w:val="24"/>
        </w:rPr>
        <w:t xml:space="preserve"> in time for the new financial year. “Thanks to NAB Solutions</w:t>
      </w:r>
      <w:r w:rsidR="00A15A32">
        <w:rPr>
          <w:b w:val="0"/>
          <w:szCs w:val="24"/>
        </w:rPr>
        <w:t xml:space="preserve"> and an extremely enthusiastic team at our end</w:t>
      </w:r>
      <w:r w:rsidRPr="007458C0">
        <w:rPr>
          <w:b w:val="0"/>
          <w:szCs w:val="24"/>
        </w:rPr>
        <w:t>, we were able to implement Microsoft Dynamics NAV in an extremely short period of time,” says Löö</w:t>
      </w:r>
      <w:r w:rsidR="00403F0B">
        <w:rPr>
          <w:b w:val="0"/>
          <w:szCs w:val="24"/>
        </w:rPr>
        <w:t>f</w:t>
      </w:r>
      <w:r w:rsidRPr="007458C0">
        <w:rPr>
          <w:b w:val="0"/>
          <w:szCs w:val="24"/>
        </w:rPr>
        <w:t>. “We closed the books in Lawson Insight on September 30 and began using Micros</w:t>
      </w:r>
      <w:r>
        <w:rPr>
          <w:b w:val="0"/>
          <w:szCs w:val="24"/>
        </w:rPr>
        <w:t>oft Dynamics NAV on October 1.”</w:t>
      </w:r>
    </w:p>
    <w:p w:rsidR="007458C0" w:rsidRPr="007458C0" w:rsidRDefault="007458C0" w:rsidP="007458C0">
      <w:pPr>
        <w:pStyle w:val="Bodycopyheading"/>
        <w:rPr>
          <w:b w:val="0"/>
          <w:szCs w:val="24"/>
        </w:rPr>
      </w:pPr>
    </w:p>
    <w:p w:rsidR="007458C0" w:rsidRPr="007458C0" w:rsidRDefault="00B72AA7" w:rsidP="007458C0">
      <w:pPr>
        <w:pStyle w:val="Bodycopyheading"/>
      </w:pPr>
      <w:r>
        <w:rPr>
          <w:noProof/>
          <w:lang w:eastAsia="zh-TW"/>
        </w:rPr>
        <w:pict>
          <v:shape id="_x0000_s1036" type="#_x0000_t202" style="position:absolute;margin-left:-10pt;margin-top:339.75pt;width:356.2pt;height:228.25pt;z-index:251663360;mso-position-horizontal-relative:margin;mso-position-vertical-relative:margin;mso-width-relative:margin;mso-height-relative:margin" stroked="f">
            <v:textbox>
              <w:txbxContent>
                <w:p w:rsidR="008F2DBF" w:rsidRDefault="008F2DBF" w:rsidP="008F2DBF">
                  <w:pPr>
                    <w:jc w:val="center"/>
                  </w:pPr>
                  <w:r w:rsidRPr="008F2DBF">
                    <w:rPr>
                      <w:noProof/>
                      <w:lang w:val="en-US" w:eastAsia="ja-JP"/>
                    </w:rPr>
                    <w:drawing>
                      <wp:inline distT="0" distB="0" distL="0" distR="0" wp14:anchorId="3EB92EAA" wp14:editId="61400F71">
                        <wp:extent cx="4248150" cy="28258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116" cy="2827835"/>
                                </a:xfrm>
                                <a:prstGeom prst="rect">
                                  <a:avLst/>
                                </a:prstGeom>
                                <a:noFill/>
                                <a:ln>
                                  <a:noFill/>
                                </a:ln>
                              </pic:spPr>
                            </pic:pic>
                          </a:graphicData>
                        </a:graphic>
                      </wp:inline>
                    </w:drawing>
                  </w:r>
                </w:p>
              </w:txbxContent>
            </v:textbox>
            <w10:wrap type="square" anchorx="margin" anchory="margin"/>
            <w10:anchorlock/>
          </v:shape>
        </w:pict>
      </w:r>
      <w:r w:rsidR="007458C0" w:rsidRPr="007458C0">
        <w:t>Core Accounting</w:t>
      </w:r>
    </w:p>
    <w:p w:rsidR="007458C0" w:rsidRPr="007458C0" w:rsidRDefault="007458C0" w:rsidP="007458C0">
      <w:pPr>
        <w:pStyle w:val="Bodycopyheading"/>
        <w:rPr>
          <w:b w:val="0"/>
          <w:szCs w:val="24"/>
        </w:rPr>
      </w:pPr>
      <w:r w:rsidRPr="007458C0">
        <w:rPr>
          <w:b w:val="0"/>
          <w:szCs w:val="24"/>
        </w:rPr>
        <w:t xml:space="preserve">From one central implementation of Microsoft Dynamics NAV in Stockholm, Thomas Cook accounting staff from across Norway, Denmark, Finland, and Sweden enjoy rich financial management functionality spanning general ledger, asset management, accounts payable, and accounts receivable. </w:t>
      </w:r>
    </w:p>
    <w:p w:rsidR="007458C0" w:rsidRPr="007458C0" w:rsidRDefault="007458C0" w:rsidP="007458C0">
      <w:pPr>
        <w:pStyle w:val="Bodycopyheading"/>
        <w:rPr>
          <w:b w:val="0"/>
          <w:szCs w:val="24"/>
        </w:rPr>
      </w:pPr>
    </w:p>
    <w:p w:rsidR="007458C0" w:rsidRPr="007458C0" w:rsidRDefault="007458C0" w:rsidP="007458C0">
      <w:pPr>
        <w:pStyle w:val="Bodycopyheading"/>
        <w:rPr>
          <w:b w:val="0"/>
          <w:szCs w:val="24"/>
        </w:rPr>
      </w:pPr>
      <w:r w:rsidRPr="007458C0">
        <w:rPr>
          <w:b w:val="0"/>
          <w:szCs w:val="24"/>
        </w:rPr>
        <w:t xml:space="preserve">“For accounting, Microsoft Dynamics NAV has been heaven,” </w:t>
      </w:r>
      <w:proofErr w:type="gramStart"/>
      <w:r w:rsidRPr="007458C0">
        <w:rPr>
          <w:b w:val="0"/>
          <w:szCs w:val="24"/>
        </w:rPr>
        <w:t>enthuses</w:t>
      </w:r>
      <w:proofErr w:type="gramEnd"/>
      <w:r w:rsidRPr="007458C0">
        <w:rPr>
          <w:b w:val="0"/>
          <w:szCs w:val="24"/>
        </w:rPr>
        <w:t xml:space="preserve"> Löö</w:t>
      </w:r>
      <w:r w:rsidR="00403F0B">
        <w:rPr>
          <w:b w:val="0"/>
          <w:szCs w:val="24"/>
        </w:rPr>
        <w:t>f</w:t>
      </w:r>
      <w:r w:rsidRPr="007458C0">
        <w:rPr>
          <w:b w:val="0"/>
          <w:szCs w:val="24"/>
        </w:rPr>
        <w:t xml:space="preserve">. “We can go straight into the system and begin working right away because, for one, its functionality is intuitive, and two, it’s so well integrated with Microsoft Excel that we can work with the tools we want to.” </w:t>
      </w:r>
    </w:p>
    <w:p w:rsidR="007458C0" w:rsidRPr="007458C0" w:rsidRDefault="00B72AA7" w:rsidP="007458C0">
      <w:pPr>
        <w:pStyle w:val="Bodycopyheading"/>
        <w:rPr>
          <w:b w:val="0"/>
          <w:szCs w:val="24"/>
        </w:rPr>
      </w:pPr>
      <w:r>
        <w:rPr>
          <w:b w:val="0"/>
          <w:noProof/>
          <w:szCs w:val="24"/>
        </w:rPr>
        <w:pict>
          <v:shape id="2_Caption" o:spid="_x0000_s1037" type="#_x0000_t202" style="position:absolute;margin-left:44pt;margin-top:520.75pt;width:168.5pt;height:84pt;z-index:251664384;mso-position-horizontal-relative:page;mso-position-vertical-relative:page" fillcolor="#209fc8" stroked="f">
            <v:textbox style="mso-next-textbox:#2_Caption" inset="5mm,10pt,5mm,10pt">
              <w:txbxContent>
                <w:p w:rsidR="008F2DBF" w:rsidRDefault="008F2DBF" w:rsidP="008127DF">
                  <w:pPr>
                    <w:pStyle w:val="Diagramtitle"/>
                    <w:tabs>
                      <w:tab w:val="num" w:pos="360"/>
                    </w:tabs>
                    <w:spacing w:line="240" w:lineRule="auto"/>
                  </w:pPr>
                  <w:r>
                    <w:t xml:space="preserve">Thomas Cook Northern Europe offers travel services to 200 locations across 40 countries including Djerba, Tunisia. </w:t>
                  </w:r>
                  <w:r w:rsidRPr="00EC327B">
                    <w:rPr>
                      <w:sz w:val="15"/>
                      <w:szCs w:val="15"/>
                    </w:rPr>
                    <w:t>Photographer: David Johansson</w:t>
                  </w:r>
                </w:p>
              </w:txbxContent>
            </v:textbox>
            <w10:wrap anchorx="page" anchory="page"/>
          </v:shape>
        </w:pict>
      </w:r>
    </w:p>
    <w:p w:rsidR="007458C0" w:rsidRPr="007458C0" w:rsidRDefault="007458C0" w:rsidP="007458C0">
      <w:pPr>
        <w:pStyle w:val="Bodycopyheading"/>
      </w:pPr>
      <w:r w:rsidRPr="007458C0">
        <w:lastRenderedPageBreak/>
        <w:t>Web Services Integration</w:t>
      </w:r>
    </w:p>
    <w:p w:rsidR="007458C0" w:rsidRPr="007458C0" w:rsidRDefault="007458C0" w:rsidP="007458C0">
      <w:pPr>
        <w:pStyle w:val="Bodycopyheading"/>
        <w:rPr>
          <w:b w:val="0"/>
          <w:szCs w:val="24"/>
        </w:rPr>
      </w:pPr>
      <w:r w:rsidRPr="007458C0">
        <w:rPr>
          <w:b w:val="0"/>
          <w:szCs w:val="24"/>
        </w:rPr>
        <w:t xml:space="preserve">Thomas Cook’s implementation of Microsoft Dynamics NAV is part of a larger business solution. </w:t>
      </w:r>
      <w:r w:rsidR="00E33554">
        <w:rPr>
          <w:b w:val="0"/>
          <w:szCs w:val="24"/>
        </w:rPr>
        <w:t>By t</w:t>
      </w:r>
      <w:r w:rsidRPr="007458C0">
        <w:rPr>
          <w:b w:val="0"/>
          <w:szCs w:val="24"/>
        </w:rPr>
        <w:t>aking advantage of web services in Microsoft Dynamics NAV, NAB Solutions integrated Microsoft Dynamics NAV with Thomas Cook Northern Europe’s systems for booking and reservation, treasury, payroll, accounts payable, and banking. “Not much information is being entered manually anymore,” says Löö</w:t>
      </w:r>
      <w:r w:rsidR="00403F0B">
        <w:rPr>
          <w:b w:val="0"/>
          <w:szCs w:val="24"/>
        </w:rPr>
        <w:t>f</w:t>
      </w:r>
      <w:r w:rsidRPr="007458C0">
        <w:rPr>
          <w:b w:val="0"/>
          <w:szCs w:val="24"/>
        </w:rPr>
        <w:t xml:space="preserve">. </w:t>
      </w:r>
    </w:p>
    <w:p w:rsidR="007458C0" w:rsidRPr="007458C0" w:rsidRDefault="007458C0" w:rsidP="007458C0">
      <w:pPr>
        <w:pStyle w:val="Bodycopyheading"/>
        <w:rPr>
          <w:b w:val="0"/>
          <w:szCs w:val="24"/>
        </w:rPr>
      </w:pPr>
    </w:p>
    <w:p w:rsidR="007458C0" w:rsidRPr="007458C0" w:rsidRDefault="007458C0" w:rsidP="007458C0">
      <w:pPr>
        <w:pStyle w:val="Bodycopyheading"/>
        <w:rPr>
          <w:b w:val="0"/>
          <w:szCs w:val="24"/>
        </w:rPr>
      </w:pPr>
      <w:r w:rsidRPr="007458C0">
        <w:t xml:space="preserve">Addressing Company-Specific </w:t>
      </w:r>
      <w:r w:rsidR="00E33554">
        <w:br/>
      </w:r>
      <w:r w:rsidRPr="007458C0">
        <w:t>Business Needs</w:t>
      </w:r>
    </w:p>
    <w:p w:rsidR="007458C0" w:rsidRPr="007458C0" w:rsidRDefault="007458C0" w:rsidP="007458C0">
      <w:pPr>
        <w:pStyle w:val="Bodycopyheading"/>
        <w:rPr>
          <w:b w:val="0"/>
          <w:szCs w:val="24"/>
        </w:rPr>
      </w:pPr>
      <w:r w:rsidRPr="007458C0">
        <w:rPr>
          <w:b w:val="0"/>
          <w:szCs w:val="24"/>
        </w:rPr>
        <w:t>NAB Solutions fine-tuned Microsoft Dynamics NAV to support three distinct business requirements of Thomas Cook Northern Europe:</w:t>
      </w:r>
    </w:p>
    <w:p w:rsidR="007458C0" w:rsidRPr="007458C0" w:rsidRDefault="007458C0" w:rsidP="007458C0">
      <w:pPr>
        <w:pStyle w:val="Bodycopyheading"/>
        <w:numPr>
          <w:ilvl w:val="0"/>
          <w:numId w:val="26"/>
        </w:numPr>
        <w:tabs>
          <w:tab w:val="left" w:pos="180"/>
        </w:tabs>
        <w:ind w:left="180" w:hanging="180"/>
        <w:rPr>
          <w:b w:val="0"/>
          <w:szCs w:val="24"/>
        </w:rPr>
      </w:pPr>
      <w:r w:rsidRPr="007458C0">
        <w:rPr>
          <w:szCs w:val="24"/>
        </w:rPr>
        <w:t xml:space="preserve">Cross-Company Booking. </w:t>
      </w:r>
      <w:r w:rsidRPr="007458C0">
        <w:rPr>
          <w:b w:val="0"/>
          <w:szCs w:val="24"/>
        </w:rPr>
        <w:t xml:space="preserve">NAB Solutions configured </w:t>
      </w:r>
      <w:r w:rsidR="00E33554">
        <w:rPr>
          <w:b w:val="0"/>
          <w:szCs w:val="24"/>
        </w:rPr>
        <w:t>the solution</w:t>
      </w:r>
      <w:r w:rsidRPr="007458C0">
        <w:rPr>
          <w:b w:val="0"/>
          <w:szCs w:val="24"/>
        </w:rPr>
        <w:t xml:space="preserve"> to handle multiple companies in one system. The companies include Thomas Cook offices in Norway, Denmark, Finland, and Sweden. When one Thomas Cook office books a trip that takes place in another office’s area of business, team members from that office can, as Löö</w:t>
      </w:r>
      <w:r w:rsidR="00403F0B">
        <w:rPr>
          <w:b w:val="0"/>
          <w:szCs w:val="24"/>
        </w:rPr>
        <w:t>f</w:t>
      </w:r>
      <w:r w:rsidRPr="007458C0">
        <w:rPr>
          <w:b w:val="0"/>
          <w:szCs w:val="24"/>
        </w:rPr>
        <w:t xml:space="preserve"> </w:t>
      </w:r>
      <w:r w:rsidRPr="007458C0">
        <w:rPr>
          <w:b w:val="0"/>
          <w:szCs w:val="24"/>
        </w:rPr>
        <w:lastRenderedPageBreak/>
        <w:t>describes, “</w:t>
      </w:r>
      <w:r w:rsidR="00E33554">
        <w:rPr>
          <w:b w:val="0"/>
          <w:szCs w:val="24"/>
        </w:rPr>
        <w:t>… [B]</w:t>
      </w:r>
      <w:r w:rsidRPr="007458C0">
        <w:rPr>
          <w:b w:val="0"/>
          <w:szCs w:val="24"/>
        </w:rPr>
        <w:t xml:space="preserve">ook in other companies’ books, without the need to provide an invoice.”  </w:t>
      </w:r>
    </w:p>
    <w:p w:rsidR="007458C0" w:rsidRPr="007458C0" w:rsidRDefault="007458C0" w:rsidP="007458C0">
      <w:pPr>
        <w:pStyle w:val="Bodycopyheading"/>
        <w:numPr>
          <w:ilvl w:val="0"/>
          <w:numId w:val="26"/>
        </w:numPr>
        <w:tabs>
          <w:tab w:val="left" w:pos="180"/>
        </w:tabs>
        <w:ind w:left="180" w:hanging="180"/>
        <w:rPr>
          <w:b w:val="0"/>
          <w:szCs w:val="24"/>
        </w:rPr>
      </w:pPr>
      <w:r w:rsidRPr="007458C0">
        <w:rPr>
          <w:szCs w:val="24"/>
        </w:rPr>
        <w:t>Multicurrency.</w:t>
      </w:r>
      <w:r w:rsidRPr="007458C0">
        <w:rPr>
          <w:b w:val="0"/>
          <w:szCs w:val="24"/>
        </w:rPr>
        <w:t xml:space="preserve"> </w:t>
      </w:r>
      <w:r w:rsidR="00E33554">
        <w:rPr>
          <w:b w:val="0"/>
          <w:szCs w:val="24"/>
        </w:rPr>
        <w:t>By t</w:t>
      </w:r>
      <w:r w:rsidRPr="007458C0">
        <w:rPr>
          <w:b w:val="0"/>
          <w:szCs w:val="24"/>
        </w:rPr>
        <w:t>aking advantage of the robust multicurrency capabilities in Microsoft Dynamics NAV, Thomas Cook Northern Europe also gains peace</w:t>
      </w:r>
      <w:r w:rsidR="00E33554">
        <w:rPr>
          <w:b w:val="0"/>
          <w:szCs w:val="24"/>
        </w:rPr>
        <w:t>-</w:t>
      </w:r>
      <w:r w:rsidRPr="007458C0">
        <w:rPr>
          <w:b w:val="0"/>
          <w:szCs w:val="24"/>
        </w:rPr>
        <w:t>of</w:t>
      </w:r>
      <w:r w:rsidR="00E33554">
        <w:rPr>
          <w:b w:val="0"/>
          <w:szCs w:val="24"/>
        </w:rPr>
        <w:t>-</w:t>
      </w:r>
      <w:r w:rsidRPr="007458C0">
        <w:rPr>
          <w:b w:val="0"/>
          <w:szCs w:val="24"/>
        </w:rPr>
        <w:t xml:space="preserve">mind knowing that </w:t>
      </w:r>
      <w:r w:rsidR="0067712F">
        <w:rPr>
          <w:b w:val="0"/>
          <w:szCs w:val="24"/>
        </w:rPr>
        <w:t>it correctly performs its financials</w:t>
      </w:r>
      <w:r w:rsidR="00E33554" w:rsidRPr="007458C0">
        <w:rPr>
          <w:b w:val="0"/>
          <w:szCs w:val="24"/>
        </w:rPr>
        <w:t xml:space="preserve"> </w:t>
      </w:r>
      <w:r w:rsidRPr="007458C0">
        <w:rPr>
          <w:b w:val="0"/>
          <w:szCs w:val="24"/>
        </w:rPr>
        <w:t>across four offices. Says Löö</w:t>
      </w:r>
      <w:r w:rsidR="00403F0B">
        <w:rPr>
          <w:b w:val="0"/>
          <w:szCs w:val="24"/>
        </w:rPr>
        <w:t>f</w:t>
      </w:r>
      <w:r w:rsidRPr="007458C0">
        <w:rPr>
          <w:b w:val="0"/>
          <w:szCs w:val="24"/>
        </w:rPr>
        <w:t xml:space="preserve">, “We’re working in four jurisdictions, in four countries, all with different tax regulations and banking systems. I don’t think many other systems could support the proper adjustments to comply with all our different businesses and legal requirements.” </w:t>
      </w:r>
    </w:p>
    <w:p w:rsidR="007458C0" w:rsidRDefault="007458C0" w:rsidP="007458C0">
      <w:pPr>
        <w:pStyle w:val="Bodycopyheading"/>
        <w:numPr>
          <w:ilvl w:val="0"/>
          <w:numId w:val="26"/>
        </w:numPr>
        <w:tabs>
          <w:tab w:val="left" w:pos="180"/>
        </w:tabs>
        <w:ind w:left="180" w:hanging="180"/>
        <w:rPr>
          <w:b w:val="0"/>
          <w:szCs w:val="24"/>
        </w:rPr>
      </w:pPr>
      <w:r w:rsidRPr="007458C0">
        <w:rPr>
          <w:szCs w:val="24"/>
        </w:rPr>
        <w:t>Currency Reevaluations.</w:t>
      </w:r>
      <w:r w:rsidRPr="007458C0">
        <w:rPr>
          <w:b w:val="0"/>
          <w:szCs w:val="24"/>
        </w:rPr>
        <w:t xml:space="preserve"> Thomas Cook Northern Europe also uses Microsoft Dynamics NAV to handle currency reevaluations. Two custom tables in the solution enable the accounting team to perform reevaluations against a six-month and monthly currency rate. </w:t>
      </w:r>
    </w:p>
    <w:p w:rsidR="003E7038" w:rsidRPr="00D72ECF" w:rsidRDefault="00B72AA7" w:rsidP="003E7038">
      <w:pPr>
        <w:pStyle w:val="Bodycopy"/>
      </w:pPr>
      <w:r>
        <w:rPr>
          <w:noProof/>
          <w:lang w:eastAsia="ja-JP"/>
        </w:rPr>
        <w:pict>
          <v:shape id="_x0000_s1040" type="#_x0000_t202" style="position:absolute;margin-left:-196.2pt;margin-top:-162pt;width:150.8pt;height:169.45pt;z-index:251665408;mso-width-relative:margin;mso-height-relative:margin" stroked="f">
            <v:textbox style="mso-next-textbox:#_x0000_s1040">
              <w:txbxContent>
                <w:p w:rsidR="00AA70C2" w:rsidRDefault="00AA70C2" w:rsidP="00AA70C2">
                  <w:pPr>
                    <w:pStyle w:val="Pullquote"/>
                  </w:pPr>
                  <w:r w:rsidRPr="00516B87">
                    <w:t>“</w:t>
                  </w:r>
                  <w:r w:rsidRPr="00A050F8">
                    <w:t>With Microsoft Dynamics NAV</w:t>
                  </w:r>
                  <w:r>
                    <w:t>,</w:t>
                  </w:r>
                  <w:r w:rsidRPr="00A050F8">
                    <w:t xml:space="preserve"> we have been able to reduce overtime by 30 percent.</w:t>
                  </w:r>
                  <w:r>
                    <w:t>”</w:t>
                  </w:r>
                </w:p>
                <w:p w:rsidR="00AA70C2" w:rsidRDefault="00AA70C2" w:rsidP="00AA70C2">
                  <w:pPr>
                    <w:pStyle w:val="PullQuotecredit"/>
                  </w:pPr>
                  <w:r w:rsidRPr="00A050F8">
                    <w:t>Carina Löö</w:t>
                  </w:r>
                  <w:r>
                    <w:t>f</w:t>
                  </w:r>
                  <w:r w:rsidRPr="00A050F8">
                    <w:t>, Finance Manager of Shared Services</w:t>
                  </w:r>
                  <w:r>
                    <w:t>,</w:t>
                  </w:r>
                  <w:r w:rsidRPr="00A050F8">
                    <w:t xml:space="preserve"> Thomas Cook Northern Europe</w:t>
                  </w:r>
                </w:p>
              </w:txbxContent>
            </v:textbox>
            <w10:anchorlock/>
          </v:shape>
        </w:pict>
      </w:r>
    </w:p>
    <w:p w:rsidR="003119F1" w:rsidRPr="00D72ECF" w:rsidRDefault="003119F1">
      <w:pPr>
        <w:pStyle w:val="SectionHeading"/>
      </w:pPr>
      <w:r w:rsidRPr="00D72ECF">
        <w:t>Benefits</w:t>
      </w:r>
    </w:p>
    <w:p w:rsidR="00E56CAC" w:rsidRPr="00516B87" w:rsidRDefault="00470E21" w:rsidP="00E56CAC">
      <w:pPr>
        <w:pStyle w:val="Bodycopy"/>
      </w:pPr>
      <w:r w:rsidRPr="00470E21">
        <w:rPr>
          <w:noProof/>
          <w:lang w:eastAsia="zh-TW"/>
        </w:rPr>
        <w:t>For Thomas Cook Northern Europe, the decision to move to Microsoft Dynamics NAV rather than upgrade Lawson Insight proved</w:t>
      </w:r>
      <w:r w:rsidR="00E33554">
        <w:rPr>
          <w:noProof/>
          <w:lang w:eastAsia="zh-TW"/>
        </w:rPr>
        <w:t xml:space="preserve"> to be</w:t>
      </w:r>
      <w:r w:rsidRPr="00470E21">
        <w:rPr>
          <w:noProof/>
          <w:lang w:eastAsia="zh-TW"/>
        </w:rPr>
        <w:t xml:space="preserve"> the right one. With </w:t>
      </w:r>
      <w:r w:rsidR="00E33554">
        <w:rPr>
          <w:noProof/>
          <w:lang w:eastAsia="zh-TW"/>
        </w:rPr>
        <w:t>the solution</w:t>
      </w:r>
      <w:r w:rsidRPr="00470E21">
        <w:rPr>
          <w:noProof/>
          <w:lang w:eastAsia="zh-TW"/>
        </w:rPr>
        <w:t xml:space="preserve"> in place, the company’s accounting teams benefit from an easy-to-use solution, streamlining accounting and leading to tangible results in productivity and cost savings. What’s more, with </w:t>
      </w:r>
      <w:r w:rsidR="0067712F">
        <w:rPr>
          <w:noProof/>
          <w:lang w:eastAsia="zh-TW"/>
        </w:rPr>
        <w:t xml:space="preserve">the solution’s </w:t>
      </w:r>
      <w:r w:rsidRPr="00470E21">
        <w:rPr>
          <w:noProof/>
          <w:lang w:eastAsia="zh-TW"/>
        </w:rPr>
        <w:t xml:space="preserve">flexibility and support through a local partner, Thomas Cook can continue to realize ongoing benefits as </w:t>
      </w:r>
      <w:r w:rsidR="0067712F">
        <w:rPr>
          <w:noProof/>
          <w:lang w:eastAsia="zh-TW"/>
        </w:rPr>
        <w:t>the company grows</w:t>
      </w:r>
      <w:r w:rsidRPr="00470E21">
        <w:rPr>
          <w:noProof/>
          <w:lang w:eastAsia="zh-TW"/>
        </w:rPr>
        <w:t>.</w:t>
      </w:r>
    </w:p>
    <w:p w:rsidR="003E7038" w:rsidRDefault="003E7038" w:rsidP="003E7038">
      <w:pPr>
        <w:pStyle w:val="Bodycopy"/>
      </w:pPr>
    </w:p>
    <w:p w:rsidR="00BB3AB5" w:rsidRDefault="00BB3AB5" w:rsidP="003E7038">
      <w:pPr>
        <w:pStyle w:val="Bodycopy"/>
      </w:pPr>
    </w:p>
    <w:p w:rsidR="003E7038" w:rsidRDefault="00470E21" w:rsidP="002013DF">
      <w:pPr>
        <w:pStyle w:val="Bodycopyheading"/>
      </w:pPr>
      <w:r>
        <w:t>Reduced Overtime 30 Percent and Increased Productivity 8 Percent</w:t>
      </w:r>
    </w:p>
    <w:p w:rsidR="00470E21" w:rsidRDefault="00470E21" w:rsidP="00470E21">
      <w:pPr>
        <w:pStyle w:val="Bodycopy"/>
      </w:pPr>
      <w:r>
        <w:t>Because of the ease</w:t>
      </w:r>
      <w:r w:rsidR="0067712F">
        <w:t>-</w:t>
      </w:r>
      <w:r>
        <w:t>of</w:t>
      </w:r>
      <w:r w:rsidR="0067712F">
        <w:t>-</w:t>
      </w:r>
      <w:r>
        <w:t>use of the system</w:t>
      </w:r>
      <w:r w:rsidR="0067712F">
        <w:t>,</w:t>
      </w:r>
      <w:r>
        <w:t xml:space="preserve"> as well as other efficiencies, Thomas Cook Northern Europe made considerable improvements in accounting. Says Löö</w:t>
      </w:r>
      <w:r w:rsidR="00403F0B">
        <w:t>f</w:t>
      </w:r>
      <w:r>
        <w:t>, “Now</w:t>
      </w:r>
      <w:r w:rsidR="0067712F">
        <w:t>,</w:t>
      </w:r>
      <w:r>
        <w:t xml:space="preserve"> it takes considerably less time to </w:t>
      </w:r>
      <w:r>
        <w:lastRenderedPageBreak/>
        <w:t>close the books at the end of the month. With Lawson Insight, nearly everyone in accounting had to work overtime when we were closing the books at the end of the month. With Microsoft Dynamics NAV</w:t>
      </w:r>
      <w:r w:rsidR="0067712F">
        <w:t>,</w:t>
      </w:r>
      <w:r>
        <w:t xml:space="preserve"> we have been able to reduce overtime by 30 percent.”</w:t>
      </w:r>
    </w:p>
    <w:p w:rsidR="00470E21" w:rsidRDefault="00470E21" w:rsidP="00470E21">
      <w:pPr>
        <w:pStyle w:val="Bodycopy"/>
      </w:pPr>
    </w:p>
    <w:p w:rsidR="00E56CAC" w:rsidRPr="00516B87" w:rsidRDefault="00470E21" w:rsidP="00470E21">
      <w:pPr>
        <w:pStyle w:val="Bodycopy"/>
      </w:pPr>
      <w:r>
        <w:t>Elmroth adds, “We have also been able to improve productivity overall to equate the time of 2.5 full-time employees.” With 20 people in the company’s accounting group, this means a productivity gain of 8 percent.</w:t>
      </w:r>
    </w:p>
    <w:p w:rsidR="003E7038" w:rsidRDefault="003E7038" w:rsidP="003E7038">
      <w:pPr>
        <w:pStyle w:val="Bodycopy"/>
      </w:pPr>
    </w:p>
    <w:p w:rsidR="003E7038" w:rsidRDefault="00470E21" w:rsidP="002013DF">
      <w:pPr>
        <w:pStyle w:val="Bodycopyheading"/>
      </w:pPr>
      <w:r>
        <w:t xml:space="preserve">Achieved </w:t>
      </w:r>
      <w:r w:rsidRPr="00AD2823">
        <w:t>Two-Year Payback</w:t>
      </w:r>
    </w:p>
    <w:p w:rsidR="00470E21" w:rsidRDefault="00470E21" w:rsidP="00470E21">
      <w:pPr>
        <w:pStyle w:val="Bodycopy"/>
      </w:pPr>
      <w:r>
        <w:t>Looking back at the cost of upgrading Lawson Insight versus deploying Microsoft Dynamics NAV, Löö</w:t>
      </w:r>
      <w:r w:rsidR="00403F0B">
        <w:t xml:space="preserve">f </w:t>
      </w:r>
      <w:r>
        <w:t>notes that, “The new solution cost us slightly more than upgrading, but we felt it would be cheaper in the long run.”</w:t>
      </w:r>
    </w:p>
    <w:p w:rsidR="00470E21" w:rsidRDefault="00470E21" w:rsidP="00470E21">
      <w:pPr>
        <w:pStyle w:val="Bodycopy"/>
      </w:pPr>
    </w:p>
    <w:p w:rsidR="00E56CAC" w:rsidRPr="00516B87" w:rsidRDefault="00470E21" w:rsidP="00470E21">
      <w:pPr>
        <w:pStyle w:val="Bodycopy"/>
      </w:pPr>
      <w:r>
        <w:t>The return</w:t>
      </w:r>
      <w:r w:rsidR="0067712F">
        <w:t>-</w:t>
      </w:r>
      <w:r>
        <w:t>on</w:t>
      </w:r>
      <w:r w:rsidR="0067712F">
        <w:t>-</w:t>
      </w:r>
      <w:r>
        <w:t>investment validates the company’s decision. Says Elmroth, “We realized full payback within two years after deploying Microsoft Dynamics NAV.”</w:t>
      </w:r>
    </w:p>
    <w:p w:rsidR="00E56CAC" w:rsidRPr="00516B87" w:rsidRDefault="00E56CAC" w:rsidP="00E56CAC">
      <w:pPr>
        <w:pStyle w:val="Bodycopy"/>
      </w:pPr>
    </w:p>
    <w:p w:rsidR="00E56CAC" w:rsidRDefault="00470E21" w:rsidP="00E56CAC">
      <w:pPr>
        <w:pStyle w:val="Bodycopyheading"/>
      </w:pPr>
      <w:r w:rsidRPr="00F16C34">
        <w:t>Gain</w:t>
      </w:r>
      <w:r>
        <w:t>ed</w:t>
      </w:r>
      <w:r w:rsidRPr="00F16C34">
        <w:t xml:space="preserve"> Flexibility</w:t>
      </w:r>
    </w:p>
    <w:p w:rsidR="00E56CAC" w:rsidRDefault="00470E21" w:rsidP="00E56CAC">
      <w:pPr>
        <w:pStyle w:val="Bodycopy"/>
      </w:pPr>
      <w:r>
        <w:t>With Microsoft Dynamics NAV, Thomas Cook Northern Europe gains the confidence that it can adjust the system to changing business requirements in the future</w:t>
      </w:r>
      <w:r w:rsidR="0067712F">
        <w:t>,</w:t>
      </w:r>
      <w:r>
        <w:t xml:space="preserve"> thanks not </w:t>
      </w:r>
      <w:r w:rsidR="0067712F">
        <w:t xml:space="preserve">only </w:t>
      </w:r>
      <w:r>
        <w:t xml:space="preserve">to the flexibility and ease-of-use of the system but also to the ample resources made available by its partner. Says Elmroth, “The </w:t>
      </w:r>
      <w:r w:rsidR="0067712F">
        <w:t>ease-of-use</w:t>
      </w:r>
      <w:r>
        <w:t xml:space="preserve"> of Microsoft Dynamics NAV paired with the fact that our partner and its programmers can quickly make adjustments to the system mean we can always keep the system aligned to our business model.”</w:t>
      </w:r>
    </w:p>
    <w:p w:rsidR="00470E21" w:rsidRDefault="00470E21" w:rsidP="00E56CAC">
      <w:pPr>
        <w:pStyle w:val="Bodycopy"/>
      </w:pPr>
    </w:p>
    <w:p w:rsidR="00470E21" w:rsidRDefault="00470E21" w:rsidP="00E56CAC">
      <w:pPr>
        <w:pStyle w:val="Bodycopy"/>
        <w:rPr>
          <w:b/>
        </w:rPr>
      </w:pPr>
      <w:r w:rsidRPr="00AD2823">
        <w:rPr>
          <w:b/>
        </w:rPr>
        <w:t>Ease</w:t>
      </w:r>
      <w:r>
        <w:rPr>
          <w:b/>
        </w:rPr>
        <w:t>d</w:t>
      </w:r>
      <w:r w:rsidRPr="00AD2823">
        <w:rPr>
          <w:b/>
        </w:rPr>
        <w:t xml:space="preserve"> </w:t>
      </w:r>
      <w:r>
        <w:rPr>
          <w:b/>
        </w:rPr>
        <w:t>Training</w:t>
      </w:r>
      <w:r w:rsidRPr="00AD2823">
        <w:rPr>
          <w:b/>
        </w:rPr>
        <w:t xml:space="preserve">, </w:t>
      </w:r>
      <w:r>
        <w:rPr>
          <w:b/>
        </w:rPr>
        <w:t>Adoption</w:t>
      </w:r>
      <w:r w:rsidRPr="00AD2823">
        <w:rPr>
          <w:b/>
        </w:rPr>
        <w:t>,</w:t>
      </w:r>
      <w:r>
        <w:rPr>
          <w:b/>
        </w:rPr>
        <w:t xml:space="preserve"> </w:t>
      </w:r>
      <w:r w:rsidRPr="00AD2823">
        <w:rPr>
          <w:b/>
        </w:rPr>
        <w:t>and Hirin</w:t>
      </w:r>
      <w:r>
        <w:rPr>
          <w:b/>
        </w:rPr>
        <w:t>g</w:t>
      </w:r>
    </w:p>
    <w:p w:rsidR="00470E21" w:rsidRDefault="00470E21" w:rsidP="00470E21">
      <w:pPr>
        <w:pStyle w:val="Bodycopy"/>
      </w:pPr>
      <w:r>
        <w:t xml:space="preserve">Thomas Cook Northern Europe found the </w:t>
      </w:r>
      <w:r w:rsidR="0067712F">
        <w:t>familiarity</w:t>
      </w:r>
      <w:r>
        <w:t xml:space="preserve"> of Microsoft Dynamics NAV critical to its success with the solution. “We required no training to get started with </w:t>
      </w:r>
      <w:r>
        <w:lastRenderedPageBreak/>
        <w:t>Microsoft Dynamics NAV,” recalls Elmroth. “We deployed the solution, and because it was like the other Microsoft software we’re using, we were able to start at once.”</w:t>
      </w:r>
    </w:p>
    <w:p w:rsidR="00470E21" w:rsidRDefault="00470E21" w:rsidP="00470E21">
      <w:pPr>
        <w:pStyle w:val="Bodycopy"/>
      </w:pPr>
    </w:p>
    <w:p w:rsidR="00470E21" w:rsidRDefault="00470E21" w:rsidP="00470E21">
      <w:pPr>
        <w:pStyle w:val="Bodycopy"/>
      </w:pPr>
      <w:r>
        <w:t>Elmroth goes on to note that</w:t>
      </w:r>
      <w:r w:rsidR="0067712F">
        <w:t>,</w:t>
      </w:r>
      <w:r>
        <w:t xml:space="preserve"> because of this, “It’s now easier to provide backup schedules for when people go on vacation</w:t>
      </w:r>
      <w:r w:rsidR="0067712F">
        <w:t>,</w:t>
      </w:r>
      <w:r>
        <w:t xml:space="preserve"> and it’s also easier to recruit new staff, because they do not need experience in a specific system.”</w:t>
      </w:r>
    </w:p>
    <w:p w:rsidR="00470E21" w:rsidRDefault="00470E21" w:rsidP="00470E21">
      <w:pPr>
        <w:pStyle w:val="Bodycopy"/>
      </w:pPr>
    </w:p>
    <w:p w:rsidR="00470E21" w:rsidRDefault="00470E21" w:rsidP="00470E21">
      <w:pPr>
        <w:pStyle w:val="Bodycopy"/>
        <w:rPr>
          <w:b/>
        </w:rPr>
      </w:pPr>
      <w:r>
        <w:rPr>
          <w:b/>
        </w:rPr>
        <w:t>Simplified</w:t>
      </w:r>
      <w:r w:rsidRPr="00AD2823">
        <w:rPr>
          <w:b/>
        </w:rPr>
        <w:t xml:space="preserve"> Compliance</w:t>
      </w:r>
    </w:p>
    <w:p w:rsidR="00470E21" w:rsidRDefault="00470E21" w:rsidP="00470E21">
      <w:pPr>
        <w:pStyle w:val="Bodycopy"/>
      </w:pPr>
      <w:r>
        <w:t>Because Microsoft Dynamics NAV accounts for all legal requirements across Thomas Cook Northern Europe’s four different business entities and can make that information easily available through Excel, regulatory compliance is greatly simplified. Says Löö</w:t>
      </w:r>
      <w:r w:rsidR="00403F0B">
        <w:t>f</w:t>
      </w:r>
      <w:r>
        <w:t>, “</w:t>
      </w:r>
      <w:r w:rsidR="0067712F">
        <w:t xml:space="preserve">Through </w:t>
      </w:r>
      <w:r>
        <w:t>Microsoft Dynamics NAV</w:t>
      </w:r>
      <w:r w:rsidR="0067712F">
        <w:t>, our accounting procedures are</w:t>
      </w:r>
      <w:r>
        <w:t xml:space="preserve"> much more transparent to the auditors. We can draw on any information we need and easily present it in Excel.”</w:t>
      </w:r>
    </w:p>
    <w:p w:rsidR="00470E21" w:rsidRDefault="00470E21" w:rsidP="00470E21">
      <w:pPr>
        <w:pStyle w:val="Bodycopy"/>
      </w:pPr>
    </w:p>
    <w:p w:rsidR="00470E21" w:rsidRDefault="00470E21" w:rsidP="00470E21">
      <w:pPr>
        <w:pStyle w:val="SectionHeading"/>
      </w:pPr>
      <w:r>
        <w:t>Additional Resources</w:t>
      </w:r>
    </w:p>
    <w:p w:rsidR="00470E21" w:rsidRDefault="00B72AA7" w:rsidP="0067712F">
      <w:pPr>
        <w:pStyle w:val="Bodycopy"/>
        <w:numPr>
          <w:ilvl w:val="0"/>
          <w:numId w:val="19"/>
        </w:numPr>
        <w:ind w:left="180" w:hanging="180"/>
      </w:pPr>
      <w:hyperlink r:id="rId24" w:history="1">
        <w:r w:rsidR="00470E21" w:rsidRPr="00470E21">
          <w:rPr>
            <w:rStyle w:val="Hyperlink"/>
          </w:rPr>
          <w:t>Read about Microsoft Dynamics NAV</w:t>
        </w:r>
      </w:hyperlink>
    </w:p>
    <w:p w:rsidR="00470E21" w:rsidRDefault="00B72AA7" w:rsidP="0067712F">
      <w:pPr>
        <w:pStyle w:val="Bodycopy"/>
        <w:numPr>
          <w:ilvl w:val="0"/>
          <w:numId w:val="19"/>
        </w:numPr>
        <w:ind w:left="180" w:hanging="180"/>
      </w:pPr>
      <w:hyperlink r:id="rId25" w:history="1">
        <w:r w:rsidR="00470E21" w:rsidRPr="00470E21">
          <w:rPr>
            <w:rStyle w:val="Hyperlink"/>
          </w:rPr>
          <w:t>Learn about the Microsoft Dynamics NAV RoleTailored User Experience</w:t>
        </w:r>
      </w:hyperlink>
    </w:p>
    <w:p w:rsidR="00470E21" w:rsidRDefault="00B72AA7" w:rsidP="0067712F">
      <w:pPr>
        <w:pStyle w:val="Bodycopy"/>
        <w:numPr>
          <w:ilvl w:val="0"/>
          <w:numId w:val="19"/>
        </w:numPr>
        <w:ind w:left="180" w:hanging="180"/>
      </w:pPr>
      <w:hyperlink r:id="rId26" w:history="1">
        <w:r w:rsidR="00470E21" w:rsidRPr="00470E21">
          <w:rPr>
            <w:rStyle w:val="Hyperlink"/>
          </w:rPr>
          <w:t>Join Microsoft Dynamics NAV webcasts and other events</w:t>
        </w:r>
      </w:hyperlink>
    </w:p>
    <w:p w:rsidR="003119F1" w:rsidRPr="00D72ECF" w:rsidRDefault="00BB3AB5">
      <w:pPr>
        <w:pStyle w:val="SectionHeading"/>
      </w:pPr>
      <w:r>
        <w:br w:type="column"/>
      </w:r>
      <w:r w:rsidR="00B72AA7">
        <w:lastRenderedPageBreak/>
        <w:pict>
          <v:shape id="_x0000_s1028" type="#_x0000_t202" style="position:absolute;margin-left:225pt;margin-top:603pt;width:348.3pt;height:118.5pt;z-index:251657216;mso-position-horizontal-relative:page;mso-position-vertical-relative:page" strokecolor="#b3b3b3">
            <v:fill color2="#ebebeb" rotate="t" focus="100%" type="gradient"/>
            <v:textbox style="mso-next-textbox:#_x0000_s1028"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8F2DBF">
                    <w:trPr>
                      <w:cantSplit/>
                      <w:trHeight w:hRule="exact" w:val="170"/>
                    </w:trPr>
                    <w:tc>
                      <w:tcPr>
                        <w:tcW w:w="6692" w:type="dxa"/>
                        <w:gridSpan w:val="2"/>
                      </w:tcPr>
                      <w:p w:rsidR="008F2DBF" w:rsidRDefault="008F2DBF">
                        <w:pPr>
                          <w:pStyle w:val="SectionHeadingGrey"/>
                        </w:pPr>
                      </w:p>
                    </w:tc>
                  </w:tr>
                  <w:tr w:rsidR="008F2DBF">
                    <w:trPr>
                      <w:trHeight w:val="3846"/>
                    </w:trPr>
                    <w:tc>
                      <w:tcPr>
                        <w:tcW w:w="3302" w:type="dxa"/>
                      </w:tcPr>
                      <w:p w:rsidR="008F2DBF" w:rsidRDefault="008F2DBF" w:rsidP="009A38CD">
                        <w:pPr>
                          <w:pStyle w:val="SectionHeadingGrey"/>
                        </w:pPr>
                        <w:r>
                          <w:t>Software and Services</w:t>
                        </w:r>
                      </w:p>
                      <w:p w:rsidR="008F2DBF" w:rsidRDefault="008F2DBF" w:rsidP="00053CD7">
                        <w:pPr>
                          <w:pStyle w:val="Bullet"/>
                        </w:pPr>
                        <w:r>
                          <w:t>Microsoft Dynamics</w:t>
                        </w:r>
                      </w:p>
                      <w:p w:rsidR="008F2DBF" w:rsidRPr="00C11231" w:rsidRDefault="008F2DBF" w:rsidP="00A43D97">
                        <w:pPr>
                          <w:pStyle w:val="BulletLevel2"/>
                        </w:pPr>
                        <w:r w:rsidRPr="00C11231">
                          <w:t xml:space="preserve">Microsoft Dynamics </w:t>
                        </w:r>
                        <w:r>
                          <w:t>NAV</w:t>
                        </w:r>
                      </w:p>
                      <w:p w:rsidR="008F2DBF" w:rsidRDefault="008F2DBF" w:rsidP="00E51E5B">
                        <w:pPr>
                          <w:pStyle w:val="Bullet"/>
                          <w:tabs>
                            <w:tab w:val="clear" w:pos="360"/>
                          </w:tabs>
                          <w:ind w:left="181" w:hanging="181"/>
                        </w:pPr>
                        <w:r>
                          <w:t>Microsoft Office</w:t>
                        </w:r>
                      </w:p>
                      <w:p w:rsidR="008F2DBF" w:rsidRDefault="008F2DBF" w:rsidP="004C1B55">
                        <w:pPr>
                          <w:pStyle w:val="BulletLevel2"/>
                        </w:pPr>
                        <w:r>
                          <w:t>Microsoft Excel</w:t>
                        </w:r>
                      </w:p>
                    </w:tc>
                    <w:tc>
                      <w:tcPr>
                        <w:tcW w:w="3390" w:type="dxa"/>
                      </w:tcPr>
                      <w:p w:rsidR="008F2DBF" w:rsidRDefault="008F2DBF" w:rsidP="00053CD7">
                        <w:pPr>
                          <w:pStyle w:val="SectionHeadingGrey"/>
                        </w:pPr>
                        <w:r>
                          <w:t>Partners</w:t>
                        </w:r>
                      </w:p>
                      <w:p w:rsidR="008F2DBF" w:rsidRDefault="008F2DBF" w:rsidP="00053CD7">
                        <w:pPr>
                          <w:pStyle w:val="Bullet"/>
                        </w:pPr>
                        <w:r>
                          <w:t>NAB Solutions</w:t>
                        </w:r>
                      </w:p>
                    </w:tc>
                  </w:tr>
                </w:tbl>
                <w:p w:rsidR="008F2DBF" w:rsidRDefault="008F2DBF">
                  <w:pPr>
                    <w:pStyle w:val="Bodycopy"/>
                    <w:rPr>
                      <w:lang w:val="sv-SE"/>
                    </w:rPr>
                  </w:pPr>
                </w:p>
              </w:txbxContent>
            </v:textbox>
            <w10:wrap type="square" anchorx="page" anchory="page"/>
            <w10:anchorlock/>
          </v:shape>
        </w:pict>
      </w:r>
      <w:r w:rsidR="00B72AA7">
        <w:pict>
          <v:shape id="DisclaimerBox" o:spid="_x0000_s1027" type="#_x0000_t202" style="position:absolute;margin-left:43.7pt;margin-top:650pt;width:172.3pt;height:109.55pt;z-index:251656192;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8F2DBF">
                    <w:trPr>
                      <w:trHeight w:val="2114"/>
                    </w:trPr>
                    <w:tc>
                      <w:tcPr>
                        <w:tcW w:w="3200" w:type="dxa"/>
                        <w:tcBorders>
                          <w:top w:val="nil"/>
                          <w:left w:val="nil"/>
                          <w:bottom w:val="nil"/>
                          <w:right w:val="nil"/>
                        </w:tcBorders>
                        <w:vAlign w:val="bottom"/>
                      </w:tcPr>
                      <w:p w:rsidR="008F2DBF" w:rsidRDefault="008F2DBF">
                        <w:pPr>
                          <w:pStyle w:val="Disclaimer"/>
                        </w:pPr>
                        <w:r>
                          <w:rPr>
                            <w:szCs w:val="11"/>
                          </w:rPr>
                          <w:t>This case study is for informational purposes only. MICROSOFT MAKES NO WARRANTIES, EXPRESS OR IMPLIED, IN THIS SUMMARY.</w:t>
                        </w:r>
                      </w:p>
                      <w:p w:rsidR="008F2DBF" w:rsidRDefault="008F2DBF">
                        <w:pPr>
                          <w:pStyle w:val="Disclaimer"/>
                          <w:rPr>
                            <w:szCs w:val="11"/>
                          </w:rPr>
                        </w:pPr>
                      </w:p>
                      <w:p w:rsidR="008F2DBF" w:rsidRDefault="008F2DBF" w:rsidP="00AA70C2">
                        <w:pPr>
                          <w:pStyle w:val="Disclaimer"/>
                        </w:pPr>
                        <w:r>
                          <w:rPr>
                            <w:szCs w:val="11"/>
                          </w:rPr>
                          <w:t xml:space="preserve">Document published </w:t>
                        </w:r>
                        <w:r w:rsidR="00AA70C2">
                          <w:rPr>
                            <w:szCs w:val="11"/>
                          </w:rPr>
                          <w:t>November</w:t>
                        </w:r>
                        <w:r>
                          <w:rPr>
                            <w:szCs w:val="11"/>
                          </w:rPr>
                          <w:t xml:space="preserve"> 2010</w:t>
                        </w:r>
                      </w:p>
                    </w:tc>
                    <w:tc>
                      <w:tcPr>
                        <w:tcW w:w="280" w:type="dxa"/>
                        <w:tcBorders>
                          <w:top w:val="nil"/>
                          <w:left w:val="nil"/>
                          <w:bottom w:val="nil"/>
                          <w:right w:val="single" w:sz="8" w:space="0" w:color="A0A0A0"/>
                        </w:tcBorders>
                        <w:vAlign w:val="bottom"/>
                      </w:tcPr>
                      <w:p w:rsidR="008F2DBF" w:rsidRDefault="008F2DBF">
                        <w:pPr>
                          <w:pStyle w:val="Disclaimer"/>
                        </w:pPr>
                      </w:p>
                    </w:tc>
                  </w:tr>
                </w:tbl>
                <w:p w:rsidR="008F2DBF" w:rsidRDefault="008F2DBF">
                  <w:pPr>
                    <w:pStyle w:val="Disclaimer"/>
                  </w:pPr>
                </w:p>
              </w:txbxContent>
            </v:textbox>
            <w10:wrap anchorx="page" anchory="page"/>
            <w10:anchorlock/>
          </v:shape>
        </w:pict>
      </w:r>
      <w:r w:rsidR="00B72AA7">
        <w:pict>
          <v:shape id="_x0000_s1026" type="#_x0000_t202" style="position:absolute;margin-left:42.55pt;margin-top:161.95pt;width:155.9pt;height:484.4pt;z-index:251655168;mso-position-horizontal-relative:page;mso-position-vertical-relative:page" stroked="f">
            <v:textbox style="mso-next-textbox:#_x0000_s1026" inset="0,0,0,0">
              <w:txbxContent>
                <w:p w:rsidR="008F2DBF" w:rsidRDefault="008F2DBF">
                  <w:pPr>
                    <w:pStyle w:val="SectionHeading"/>
                  </w:pPr>
                  <w:r>
                    <w:t>For More Information</w:t>
                  </w:r>
                </w:p>
                <w:p w:rsidR="008F2DBF" w:rsidRDefault="008F2DBF">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8F2DBF" w:rsidRDefault="00B72AA7">
                  <w:pPr>
                    <w:pStyle w:val="Bodycopy"/>
                  </w:pPr>
                  <w:hyperlink r:id="rId27" w:history="1">
                    <w:r w:rsidR="008F2DBF" w:rsidRPr="00500DAB">
                      <w:rPr>
                        <w:rStyle w:val="URL"/>
                      </w:rPr>
                      <w:t>www.microsoft.com</w:t>
                    </w:r>
                  </w:hyperlink>
                </w:p>
                <w:p w:rsidR="008F2DBF" w:rsidRDefault="008F2DBF">
                  <w:pPr>
                    <w:pStyle w:val="Bodycopy"/>
                  </w:pPr>
                </w:p>
                <w:p w:rsidR="008F2DBF" w:rsidRDefault="008F2DBF">
                  <w:pPr>
                    <w:pStyle w:val="Bodycopy"/>
                    <w:rPr>
                      <w:rStyle w:val="URL"/>
                    </w:rPr>
                  </w:pPr>
                  <w:r>
                    <w:t>For more information about Thomas Cook Northern Europe services, call 011 (</w:t>
                  </w:r>
                  <w:r w:rsidRPr="00625308">
                    <w:t>46</w:t>
                  </w:r>
                  <w:r>
                    <w:t xml:space="preserve">) 8 </w:t>
                  </w:r>
                  <w:r w:rsidRPr="00625308">
                    <w:t>555 133 10</w:t>
                  </w:r>
                  <w:r>
                    <w:t xml:space="preserve"> or visit the website at:</w:t>
                  </w:r>
                  <w:r w:rsidRPr="0025550E">
                    <w:rPr>
                      <w:rStyle w:val="URL"/>
                    </w:rPr>
                    <w:t xml:space="preserve"> </w:t>
                  </w:r>
                </w:p>
                <w:p w:rsidR="008F2DBF" w:rsidRDefault="00B72AA7">
                  <w:pPr>
                    <w:pStyle w:val="Bodycopy"/>
                  </w:pPr>
                  <w:hyperlink r:id="rId28" w:history="1">
                    <w:r w:rsidR="008F2DBF" w:rsidRPr="00FF71B7">
                      <w:rPr>
                        <w:rStyle w:val="Hyperlink"/>
                      </w:rPr>
                      <w:t>www.thomascook.se</w:t>
                    </w:r>
                  </w:hyperlink>
                  <w:r w:rsidR="008F2DBF">
                    <w:t xml:space="preserve"> </w:t>
                  </w:r>
                </w:p>
                <w:p w:rsidR="008F2DBF" w:rsidRDefault="008F2DBF">
                  <w:pPr>
                    <w:pStyle w:val="Bodycopy"/>
                  </w:pPr>
                </w:p>
                <w:p w:rsidR="008F2DBF" w:rsidRDefault="008F2DBF">
                  <w:pPr>
                    <w:pStyle w:val="Bodycopy"/>
                  </w:pPr>
                  <w:r>
                    <w:t>For more information about NAB</w:t>
                  </w:r>
                  <w:r w:rsidRPr="00DB25B9">
                    <w:t xml:space="preserve"> Solutions</w:t>
                  </w:r>
                  <w:r>
                    <w:t xml:space="preserve"> products and services, call 011 (46) 0470 53 00 00 or visit the website at:</w:t>
                  </w:r>
                  <w:r w:rsidRPr="0025550E">
                    <w:rPr>
                      <w:rStyle w:val="URL"/>
                    </w:rPr>
                    <w:t xml:space="preserve"> </w:t>
                  </w:r>
                </w:p>
                <w:p w:rsidR="008F2DBF" w:rsidRPr="00A050F8" w:rsidRDefault="00B72AA7" w:rsidP="00A050F8">
                  <w:pPr>
                    <w:pStyle w:val="Bodycopy"/>
                    <w:rPr>
                      <w:rStyle w:val="Hyperlink"/>
                    </w:rPr>
                  </w:pPr>
                  <w:hyperlink r:id="rId29" w:history="1">
                    <w:r w:rsidR="008F2DBF" w:rsidRPr="00A050F8">
                      <w:rPr>
                        <w:rStyle w:val="Hyperlink"/>
                        <w:rFonts w:cs="Arial"/>
                      </w:rPr>
                      <w:t>www.</w:t>
                    </w:r>
                    <w:r w:rsidR="008F2DBF" w:rsidRPr="00A050F8">
                      <w:rPr>
                        <w:rStyle w:val="Hyperlink"/>
                        <w:rFonts w:cs="Arial"/>
                        <w:bCs/>
                      </w:rPr>
                      <w:t>nabsolutions</w:t>
                    </w:r>
                    <w:r w:rsidR="008F2DBF" w:rsidRPr="00A050F8">
                      <w:rPr>
                        <w:rStyle w:val="Hyperlink"/>
                        <w:rFonts w:cs="Arial"/>
                      </w:rPr>
                      <w:t>.se</w:t>
                    </w:r>
                  </w:hyperlink>
                </w:p>
              </w:txbxContent>
            </v:textbox>
            <w10:wrap anchorx="page" anchory="page"/>
            <w10:anchorlock/>
          </v:shape>
        </w:pict>
      </w:r>
      <w:r w:rsidR="009A38CD" w:rsidRPr="002E0389">
        <w:t>Microsoft Dynamics</w:t>
      </w:r>
    </w:p>
    <w:p w:rsidR="009A38CD" w:rsidRPr="00D72ECF" w:rsidRDefault="009A38CD">
      <w:pPr>
        <w:pStyle w:val="Bodycopy"/>
      </w:pPr>
      <w:r w:rsidRPr="00D72ECF">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rsidR="009A38CD" w:rsidRPr="00D72ECF" w:rsidRDefault="009A38CD">
      <w:pPr>
        <w:pStyle w:val="Bodycopy"/>
      </w:pPr>
      <w:r w:rsidRPr="00D72ECF">
        <w:t> </w:t>
      </w:r>
    </w:p>
    <w:p w:rsidR="009A38CD" w:rsidRPr="00D72ECF" w:rsidRDefault="009A38CD">
      <w:pPr>
        <w:pStyle w:val="Bodycopy"/>
      </w:pPr>
      <w:r w:rsidRPr="00D72ECF">
        <w:t>For more information about Microsoft Dynamics, go to:</w:t>
      </w:r>
    </w:p>
    <w:p w:rsidR="009A38CD" w:rsidRPr="00D72ECF" w:rsidRDefault="00B72AA7">
      <w:pPr>
        <w:pStyle w:val="Bodycopy"/>
      </w:pPr>
      <w:hyperlink r:id="rId30" w:history="1">
        <w:r w:rsidR="00053CD7" w:rsidRPr="00D72ECF">
          <w:rPr>
            <w:rStyle w:val="Hyperlink"/>
          </w:rPr>
          <w:t>www.microsoft.com/dynamics</w:t>
        </w:r>
      </w:hyperlink>
    </w:p>
    <w:p w:rsidR="009A38CD" w:rsidRPr="00E00358" w:rsidRDefault="009A38CD" w:rsidP="00E00358">
      <w:pPr>
        <w:pStyle w:val="SectionHeading"/>
        <w:rPr>
          <w:rStyle w:val="Hyperlink"/>
        </w:rPr>
      </w:pPr>
    </w:p>
    <w:sectPr w:rsidR="009A38CD" w:rsidRPr="00E00358" w:rsidSect="003B5AB6">
      <w:headerReference w:type="default" r:id="rId31"/>
      <w:footerReference w:type="default" r:id="rId32"/>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AA7" w:rsidRDefault="00B72AA7">
      <w:r>
        <w:separator/>
      </w:r>
    </w:p>
  </w:endnote>
  <w:endnote w:type="continuationSeparator" w:id="0">
    <w:p w:rsidR="00B72AA7" w:rsidRDefault="00B72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BF92CDEF-7454-47C1-9EB3-DA52ADE35807}"/>
    <w:embedBold r:id="rId2" w:fontKey="{EEB679C8-0364-4087-8617-C49A2D522EF9}"/>
    <w:embedItalic r:id="rId3" w:fontKey="{7A60F9C8-F545-44BC-91D3-A11D51CE94B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29" w:rsidRDefault="004614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29" w:rsidRDefault="004614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29" w:rsidRDefault="004614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DBF" w:rsidRDefault="00FE2A76">
    <w:pPr>
      <w:pStyle w:val="Footer"/>
      <w:tabs>
        <w:tab w:val="left" w:pos="2760"/>
      </w:tabs>
      <w:jc w:val="right"/>
    </w:pPr>
    <w:r>
      <w:fldChar w:fldCharType="begin"/>
    </w:r>
    <w:r w:rsidR="008F2DBF">
      <w:instrText xml:space="preserve"> if </w:instrText>
    </w:r>
    <w:r>
      <w:rPr>
        <w:rStyle w:val="PageNumber"/>
      </w:rPr>
      <w:fldChar w:fldCharType="begin"/>
    </w:r>
    <w:r w:rsidR="008F2DBF">
      <w:rPr>
        <w:rStyle w:val="PageNumber"/>
      </w:rPr>
      <w:instrText xml:space="preserve"> PAGE </w:instrText>
    </w:r>
    <w:r>
      <w:rPr>
        <w:rStyle w:val="PageNumber"/>
      </w:rPr>
      <w:fldChar w:fldCharType="separate"/>
    </w:r>
    <w:r w:rsidR="00DD2260">
      <w:rPr>
        <w:rStyle w:val="PageNumber"/>
        <w:noProof/>
      </w:rPr>
      <w:instrText>2</w:instrText>
    </w:r>
    <w:r>
      <w:rPr>
        <w:rStyle w:val="PageNumber"/>
      </w:rPr>
      <w:fldChar w:fldCharType="end"/>
    </w:r>
    <w:r w:rsidR="008F2DBF">
      <w:rPr>
        <w:rStyle w:val="PageNumber"/>
      </w:rPr>
      <w:instrText xml:space="preserve"> = </w:instrText>
    </w:r>
    <w:r>
      <w:rPr>
        <w:rStyle w:val="PageNumber"/>
      </w:rPr>
      <w:fldChar w:fldCharType="begin"/>
    </w:r>
    <w:r w:rsidR="008F2DBF">
      <w:rPr>
        <w:rStyle w:val="PageNumber"/>
      </w:rPr>
      <w:instrText xml:space="preserve"> NUMPAGES </w:instrText>
    </w:r>
    <w:r>
      <w:rPr>
        <w:rStyle w:val="PageNumber"/>
      </w:rPr>
      <w:fldChar w:fldCharType="separate"/>
    </w:r>
    <w:r w:rsidR="00DD2260">
      <w:rPr>
        <w:rStyle w:val="PageNumber"/>
        <w:noProof/>
      </w:rPr>
      <w:instrText>5</w:instrText>
    </w:r>
    <w:r>
      <w:rPr>
        <w:rStyle w:val="PageNumber"/>
      </w:rPr>
      <w:fldChar w:fldCharType="end"/>
    </w:r>
    <w:r w:rsidR="008F2DBF">
      <w:rPr>
        <w:rStyle w:val="PageNumber"/>
      </w:rPr>
      <w:instrText xml:space="preserve"> </w:instrText>
    </w:r>
    <w:r w:rsidR="00DD2260">
      <w:rPr>
        <w:rStyle w:val="PageNumbe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in">
          <v:imagedata r:id="rId1" o:title="Microsoft"/>
        </v:shape>
      </w:pict>
    </w:r>
    <w:r w:rsidR="008F2DBF">
      <w:rPr>
        <w:rStyle w:val="PageNumber"/>
      </w:rPr>
      <w:instrText xml:space="preserve"> </w:instrText>
    </w:r>
    <w:r w:rsidR="008F2DBF">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AA7" w:rsidRDefault="00B72AA7">
      <w:r>
        <w:separator/>
      </w:r>
    </w:p>
  </w:footnote>
  <w:footnote w:type="continuationSeparator" w:id="0">
    <w:p w:rsidR="00B72AA7" w:rsidRDefault="00B72A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29" w:rsidRDefault="004614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29" w:rsidRDefault="004614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29" w:rsidRDefault="004614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DBF" w:rsidRDefault="00B72AA7">
    <w:pPr>
      <w:pStyle w:val="Header"/>
    </w:pPr>
    <w:r>
      <w:rPr>
        <w:noProof/>
        <w:sz w:val="20"/>
        <w:lang w:val="en-US" w:bidi="ar-SA"/>
      </w:rPr>
      <w:pict>
        <v:line id="ThinGreenLine" o:spid="_x0000_s2050" style="position:absolute;left:0;text-align:left;flip:x;z-index:-251658240;mso-position-horizontal-relative:page;mso-position-vertical-relative:page" from="212.35pt,161.6pt" to="212.35pt,725.6pt" strokecolor="#a0a0a0">
          <w10:wrap anchorx="page" anchory="page"/>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612pt;height:72.3pt;z-index:-251659264;mso-position-horizontal-relative:page;mso-position-vertical-relative:page" o:allowincell="f">
          <v:imagedata r:id="rId1" o:title="Dynamics SubHead"/>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B717C0"/>
    <w:multiLevelType w:val="hybridMultilevel"/>
    <w:tmpl w:val="A2C6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0FB3099"/>
    <w:multiLevelType w:val="hybridMultilevel"/>
    <w:tmpl w:val="4A82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637F81"/>
    <w:multiLevelType w:val="multilevel"/>
    <w:tmpl w:val="9ADC5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6FE4487"/>
    <w:multiLevelType w:val="singleLevel"/>
    <w:tmpl w:val="86EEE6A8"/>
    <w:lvl w:ilvl="0">
      <w:start w:val="1"/>
      <w:numFmt w:val="decimal"/>
      <w:pStyle w:val="TOC2"/>
      <w:lvlText w:val="%1."/>
      <w:lvlJc w:val="left"/>
      <w:pPr>
        <w:tabs>
          <w:tab w:val="num" w:pos="360"/>
        </w:tabs>
        <w:ind w:left="360" w:hanging="360"/>
      </w:pPr>
    </w:lvl>
  </w:abstractNum>
  <w:abstractNum w:abstractNumId="11">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2">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F94C4A"/>
    <w:multiLevelType w:val="hybridMultilevel"/>
    <w:tmpl w:val="110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6">
    <w:nsid w:val="69302EB1"/>
    <w:multiLevelType w:val="hybridMultilevel"/>
    <w:tmpl w:val="F624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CB563B"/>
    <w:multiLevelType w:val="multilevel"/>
    <w:tmpl w:val="A7F6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5"/>
  </w:num>
  <w:num w:numId="4">
    <w:abstractNumId w:val="10"/>
  </w:num>
  <w:num w:numId="5">
    <w:abstractNumId w:val="1"/>
  </w:num>
  <w:num w:numId="6">
    <w:abstractNumId w:val="21"/>
  </w:num>
  <w:num w:numId="7">
    <w:abstractNumId w:val="3"/>
  </w:num>
  <w:num w:numId="8">
    <w:abstractNumId w:val="1"/>
  </w:num>
  <w:num w:numId="9">
    <w:abstractNumId w:val="8"/>
  </w:num>
  <w:num w:numId="10">
    <w:abstractNumId w:val="2"/>
  </w:num>
  <w:num w:numId="11">
    <w:abstractNumId w:val="12"/>
  </w:num>
  <w:num w:numId="12">
    <w:abstractNumId w:val="22"/>
  </w:num>
  <w:num w:numId="13">
    <w:abstractNumId w:val="5"/>
  </w:num>
  <w:num w:numId="14">
    <w:abstractNumId w:val="19"/>
  </w:num>
  <w:num w:numId="15">
    <w:abstractNumId w:val="20"/>
  </w:num>
  <w:num w:numId="16">
    <w:abstractNumId w:val="14"/>
  </w:num>
  <w:num w:numId="17">
    <w:abstractNumId w:val="6"/>
  </w:num>
  <w:num w:numId="18">
    <w:abstractNumId w:val="2"/>
  </w:num>
  <w:num w:numId="19">
    <w:abstractNumId w:val="13"/>
  </w:num>
  <w:num w:numId="20">
    <w:abstractNumId w:val="9"/>
  </w:num>
  <w:num w:numId="21">
    <w:abstractNumId w:val="16"/>
  </w:num>
  <w:num w:numId="22">
    <w:abstractNumId w:val="17"/>
  </w:num>
  <w:num w:numId="23">
    <w:abstractNumId w:val="7"/>
  </w:num>
  <w:num w:numId="24">
    <w:abstractNumId w:val="2"/>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r5G5Ib5VwzoEDVQOxSGXOZ2vkfI=" w:salt="Jw3khjfa4WQffu+61Cz0uA=="/>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51"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1"/>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ISV Royalty Licensing Program"/>
    <w:docVar w:name="lbProductList_24_SELECTED" w:val="0"/>
    <w:docVar w:name="lbProductList_25_0" w:val="Macintosh Business Unit"/>
    <w:docVar w:name="lbProductList_25_SELECTED" w:val="0"/>
    <w:docVar w:name="lbProductList_26_0" w:val="MBS"/>
    <w:docVar w:name="lbProductList_26_SELECTED" w:val="0"/>
    <w:docVar w:name="lbProductList_27_0" w:val="MCSE"/>
    <w:docVar w:name="lbProductList_27_SELECTED" w:val="0"/>
    <w:docVar w:name="lbProductList_28_0" w:val="Microsoft Desktop Optimization Pack"/>
    <w:docVar w:name="lbProductList_28_SELECTED" w:val="0"/>
    <w:docVar w:name="lbProductList_29_0" w:val="Microsoft Financing"/>
    <w:docVar w:name="lbProductList_29_SELECTED" w:val="0"/>
    <w:docVar w:name="lbProductList_3_0" w:val="Basic to Standardized"/>
    <w:docVar w:name="lbProductList_3_SELECTED" w:val="0"/>
    <w:docVar w:name="lbProductList_30_0" w:val="Microsoft Online Services"/>
    <w:docVar w:name="lbProductList_30_SELECTED" w:val="0"/>
    <w:docVar w:name="lbProductList_31_0" w:val="Microsoft Server"/>
    <w:docVar w:name="lbProductList_31_SELECTED" w:val="0"/>
    <w:docVar w:name="lbProductList_32_0" w:val="Microsoft Services"/>
    <w:docVar w:name="lbProductList_32_SELECTED" w:val="0"/>
    <w:docVar w:name="lbProductList_33_0" w:val="Microsoft Surface"/>
    <w:docVar w:name="lbProductList_33_SELECTED" w:val="0"/>
    <w:docVar w:name="lbProductList_34_0" w:val="MSA"/>
    <w:docVar w:name="lbProductList_34_SELECTED" w:val="0"/>
    <w:docVar w:name="lbProductList_35_0" w:val="MSPP"/>
    <w:docVar w:name="lbProductList_35_SELECTED" w:val="0"/>
    <w:docVar w:name="lbProductList_36_0" w:val="MTC"/>
    <w:docVar w:name="lbProductList_36_SELECTED" w:val="0"/>
    <w:docVar w:name="lbProductList_37_0" w:val="Office System"/>
    <w:docVar w:name="lbProductList_37_SELECTED" w:val="0"/>
    <w:docVar w:name="lbProductList_38_0" w:val="Portals"/>
    <w:docVar w:name="lbProductList_38_SELECTED" w:val="0"/>
    <w:docVar w:name="lbProductList_39_0" w:val="Project EPM"/>
    <w:docVar w:name="lbProductList_39_SELECTED" w:val="0"/>
    <w:docVar w:name="lbProductList_4_0" w:val="BDM Financial Services"/>
    <w:docVar w:name="lbProductList_4_SELECTED" w:val="0"/>
    <w:docVar w:name="lbProductList_40_0" w:val="Project_Six_Sigma"/>
    <w:docVar w:name="lbProductList_40_SELECTED" w:val="0"/>
    <w:docVar w:name="lbProductList_41_0" w:val="Rationalized to Dynamic"/>
    <w:docVar w:name="lbProductList_41_SELECTED" w:val="0"/>
    <w:docVar w:name="lbProductList_42_0" w:val="RMS"/>
    <w:docVar w:name="lbProductList_42_SELECTED" w:val="0"/>
    <w:docVar w:name="lbProductList_43_0" w:val="SAM"/>
    <w:docVar w:name="lbProductList_43_SELECTED" w:val="0"/>
    <w:docVar w:name="lbProductList_44_0" w:val="Server Consolidation"/>
    <w:docVar w:name="lbProductList_44_SELECTED" w:val="0"/>
    <w:docVar w:name="lbProductList_45_0" w:val="Small Business Server 2003"/>
    <w:docVar w:name="lbProductList_45_SELECTED" w:val="0"/>
    <w:docVar w:name="lbProductList_46_0" w:val="SMS"/>
    <w:docVar w:name="lbProductList_46_SELECTED" w:val="0"/>
    <w:docVar w:name="lbProductList_47_0" w:val="SQL Server 2008 R2"/>
    <w:docVar w:name="lbProductList_47_SELECTED" w:val="0"/>
    <w:docVar w:name="lbProductList_48_0" w:val="SQL Server"/>
    <w:docVar w:name="lbProductList_48_SELECTED" w:val="0"/>
    <w:docVar w:name="lbProductList_49_0" w:val="Standardized to Rationalized"/>
    <w:docVar w:name="lbProductList_49_SELECTED" w:val="0"/>
    <w:docVar w:name="lbProductList_5_0" w:val="BDM Healthcare Services"/>
    <w:docVar w:name="lbProductList_5_SELECTED" w:val="0"/>
    <w:docVar w:name="lbProductList_50_0" w:val="System Center 2007 R2"/>
    <w:docVar w:name="lbProductList_50_SELECTED" w:val="0"/>
    <w:docVar w:name="lbProductList_51_0" w:val="System Center"/>
    <w:docVar w:name="lbProductList_51_SELECTED" w:val="0"/>
    <w:docVar w:name="lbProductList_52_0" w:val="Virtual Earth"/>
    <w:docVar w:name="lbProductList_52_SELECTED" w:val="0"/>
    <w:docVar w:name="lbProductList_53_0" w:val="Virtualization"/>
    <w:docVar w:name="lbProductList_53_SELECTED" w:val="0"/>
    <w:docVar w:name="lbProductList_54_0" w:val="Visio"/>
    <w:docVar w:name="lbProductList_54_SELECTED" w:val="0"/>
    <w:docVar w:name="lbProductList_55_0" w:val="Visual Studio"/>
    <w:docVar w:name="lbProductList_55_SELECTED" w:val="0"/>
    <w:docVar w:name="lbProductList_56_0" w:val="Volume Licensing"/>
    <w:docVar w:name="lbProductList_56_SELECTED" w:val="0"/>
    <w:docVar w:name="lbProductList_57_0" w:val="Web Platform"/>
    <w:docVar w:name="lbProductList_57_SELECTED" w:val="0"/>
    <w:docVar w:name="lbProductList_58_0" w:val="Windows Desktop Search"/>
    <w:docVar w:name="lbProductList_58_SELECTED" w:val="0"/>
    <w:docVar w:name="lbProductList_59_0" w:val="Windows Mobile"/>
    <w:docVar w:name="lbProductList_59_SELECTED" w:val="0"/>
    <w:docVar w:name="lbProductList_6_0" w:val="BDM Manufacturing"/>
    <w:docVar w:name="lbProductList_6_SELECTED" w:val="0"/>
    <w:docVar w:name="lbProductList_60_0" w:val="Windows Phone"/>
    <w:docVar w:name="lbProductList_60_SELECTED" w:val="0"/>
    <w:docVar w:name="lbProductList_61_0" w:val="Windows Server 2003 R2"/>
    <w:docVar w:name="lbProductList_61_SELECTED" w:val="0"/>
    <w:docVar w:name="lbProductList_62_0" w:val="Windows Server 2003"/>
    <w:docVar w:name="lbProductList_62_SELECTED" w:val="0"/>
    <w:docVar w:name="lbProductList_63_0" w:val="Windows Vista"/>
    <w:docVar w:name="lbProductList_63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4"/>
    <w:docVar w:name="lbProductList_ListIndex" w:val="1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1"/>
    <w:docVar w:name="RERUN" w:val="1"/>
    <w:docVar w:name="tbDatePublished" w:val="April 2010"/>
    <w:docVar w:name="tbDisclaimer1" w:val="This case study is for informational purposes only. MICROSOFT MAKES NO WARRANTIES, EXPRESS OR IMPLIED, IN THIS SUMMARY."/>
    <w:docVar w:name="tbDocumentFirstPageBody"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053CD7"/>
    <w:rsid w:val="000006E8"/>
    <w:rsid w:val="000168E7"/>
    <w:rsid w:val="00026534"/>
    <w:rsid w:val="000335E0"/>
    <w:rsid w:val="00042EFC"/>
    <w:rsid w:val="00053612"/>
    <w:rsid w:val="00053CD7"/>
    <w:rsid w:val="00056AA8"/>
    <w:rsid w:val="00056E78"/>
    <w:rsid w:val="00085C15"/>
    <w:rsid w:val="00096915"/>
    <w:rsid w:val="000A27FC"/>
    <w:rsid w:val="000A4564"/>
    <w:rsid w:val="000B27A5"/>
    <w:rsid w:val="000B3311"/>
    <w:rsid w:val="000E56E4"/>
    <w:rsid w:val="000E7230"/>
    <w:rsid w:val="00103D1C"/>
    <w:rsid w:val="001226A5"/>
    <w:rsid w:val="001339A1"/>
    <w:rsid w:val="0014120C"/>
    <w:rsid w:val="001452AD"/>
    <w:rsid w:val="00153B72"/>
    <w:rsid w:val="0016302E"/>
    <w:rsid w:val="00172156"/>
    <w:rsid w:val="00173916"/>
    <w:rsid w:val="001A5007"/>
    <w:rsid w:val="001A74AB"/>
    <w:rsid w:val="001C2AED"/>
    <w:rsid w:val="001E0140"/>
    <w:rsid w:val="001E4909"/>
    <w:rsid w:val="001F358F"/>
    <w:rsid w:val="001F6C71"/>
    <w:rsid w:val="002013DF"/>
    <w:rsid w:val="00202E69"/>
    <w:rsid w:val="002166D8"/>
    <w:rsid w:val="00232CFE"/>
    <w:rsid w:val="0025550E"/>
    <w:rsid w:val="00256D95"/>
    <w:rsid w:val="0027785D"/>
    <w:rsid w:val="002820B0"/>
    <w:rsid w:val="00283CE9"/>
    <w:rsid w:val="0028734E"/>
    <w:rsid w:val="00290BBC"/>
    <w:rsid w:val="002B5633"/>
    <w:rsid w:val="002C6806"/>
    <w:rsid w:val="002D3932"/>
    <w:rsid w:val="002D4EA9"/>
    <w:rsid w:val="002E0389"/>
    <w:rsid w:val="002E40AA"/>
    <w:rsid w:val="002F19BE"/>
    <w:rsid w:val="002F4C86"/>
    <w:rsid w:val="003119F1"/>
    <w:rsid w:val="003163CA"/>
    <w:rsid w:val="00317EB5"/>
    <w:rsid w:val="00337C81"/>
    <w:rsid w:val="003459AE"/>
    <w:rsid w:val="0037274C"/>
    <w:rsid w:val="003920DE"/>
    <w:rsid w:val="003B52BF"/>
    <w:rsid w:val="003B5AB6"/>
    <w:rsid w:val="003C4089"/>
    <w:rsid w:val="003D0160"/>
    <w:rsid w:val="003D0794"/>
    <w:rsid w:val="003E0474"/>
    <w:rsid w:val="003E6F49"/>
    <w:rsid w:val="003E7038"/>
    <w:rsid w:val="003F7593"/>
    <w:rsid w:val="003F7A7A"/>
    <w:rsid w:val="00403F0B"/>
    <w:rsid w:val="00406277"/>
    <w:rsid w:val="004308FE"/>
    <w:rsid w:val="00456D67"/>
    <w:rsid w:val="00461429"/>
    <w:rsid w:val="00462F2B"/>
    <w:rsid w:val="00470E21"/>
    <w:rsid w:val="004804EA"/>
    <w:rsid w:val="004859D1"/>
    <w:rsid w:val="0049263B"/>
    <w:rsid w:val="00496142"/>
    <w:rsid w:val="00496ED9"/>
    <w:rsid w:val="004A1FCB"/>
    <w:rsid w:val="004A2D6E"/>
    <w:rsid w:val="004A5847"/>
    <w:rsid w:val="004C1B55"/>
    <w:rsid w:val="004F3443"/>
    <w:rsid w:val="00500DAB"/>
    <w:rsid w:val="005171A4"/>
    <w:rsid w:val="005370B2"/>
    <w:rsid w:val="005522C0"/>
    <w:rsid w:val="00557795"/>
    <w:rsid w:val="0056192A"/>
    <w:rsid w:val="00566C27"/>
    <w:rsid w:val="00570F2E"/>
    <w:rsid w:val="00573B55"/>
    <w:rsid w:val="005A5B84"/>
    <w:rsid w:val="005C01B3"/>
    <w:rsid w:val="005C3474"/>
    <w:rsid w:val="005C6064"/>
    <w:rsid w:val="005E49C0"/>
    <w:rsid w:val="005F6F8A"/>
    <w:rsid w:val="005F74D4"/>
    <w:rsid w:val="00624CEC"/>
    <w:rsid w:val="00625308"/>
    <w:rsid w:val="0065016F"/>
    <w:rsid w:val="00655B06"/>
    <w:rsid w:val="0066045B"/>
    <w:rsid w:val="00661519"/>
    <w:rsid w:val="006623A7"/>
    <w:rsid w:val="00670075"/>
    <w:rsid w:val="0067712F"/>
    <w:rsid w:val="00691907"/>
    <w:rsid w:val="006941E3"/>
    <w:rsid w:val="00694A85"/>
    <w:rsid w:val="006950FD"/>
    <w:rsid w:val="006E5542"/>
    <w:rsid w:val="006F7055"/>
    <w:rsid w:val="007027C3"/>
    <w:rsid w:val="007044AA"/>
    <w:rsid w:val="00710C19"/>
    <w:rsid w:val="0071711E"/>
    <w:rsid w:val="00726138"/>
    <w:rsid w:val="00733E02"/>
    <w:rsid w:val="00742EE2"/>
    <w:rsid w:val="007458C0"/>
    <w:rsid w:val="007660E8"/>
    <w:rsid w:val="0077065E"/>
    <w:rsid w:val="0078791E"/>
    <w:rsid w:val="007A75EB"/>
    <w:rsid w:val="007B6A30"/>
    <w:rsid w:val="007C0717"/>
    <w:rsid w:val="007C56E5"/>
    <w:rsid w:val="007D0980"/>
    <w:rsid w:val="008024B2"/>
    <w:rsid w:val="008127DF"/>
    <w:rsid w:val="00813109"/>
    <w:rsid w:val="00830488"/>
    <w:rsid w:val="00847D42"/>
    <w:rsid w:val="0086399B"/>
    <w:rsid w:val="008657EB"/>
    <w:rsid w:val="008839E1"/>
    <w:rsid w:val="008A018D"/>
    <w:rsid w:val="008B0ADD"/>
    <w:rsid w:val="008C43F2"/>
    <w:rsid w:val="008D79B8"/>
    <w:rsid w:val="008E0971"/>
    <w:rsid w:val="008F2DBF"/>
    <w:rsid w:val="00912478"/>
    <w:rsid w:val="009177B0"/>
    <w:rsid w:val="00935719"/>
    <w:rsid w:val="0095051D"/>
    <w:rsid w:val="009534CB"/>
    <w:rsid w:val="009538AB"/>
    <w:rsid w:val="00957813"/>
    <w:rsid w:val="00957AA2"/>
    <w:rsid w:val="00965F28"/>
    <w:rsid w:val="009809B1"/>
    <w:rsid w:val="00981366"/>
    <w:rsid w:val="00985DE1"/>
    <w:rsid w:val="009A38CD"/>
    <w:rsid w:val="009A3B28"/>
    <w:rsid w:val="009A54A9"/>
    <w:rsid w:val="009B4FFB"/>
    <w:rsid w:val="009C70F0"/>
    <w:rsid w:val="009C7FB0"/>
    <w:rsid w:val="009E14A6"/>
    <w:rsid w:val="009E4E26"/>
    <w:rsid w:val="009F0D29"/>
    <w:rsid w:val="009F6063"/>
    <w:rsid w:val="00A050F8"/>
    <w:rsid w:val="00A1096F"/>
    <w:rsid w:val="00A15A32"/>
    <w:rsid w:val="00A20283"/>
    <w:rsid w:val="00A36477"/>
    <w:rsid w:val="00A41ACF"/>
    <w:rsid w:val="00A43D97"/>
    <w:rsid w:val="00A445EA"/>
    <w:rsid w:val="00A46D64"/>
    <w:rsid w:val="00A53EA2"/>
    <w:rsid w:val="00A54AFC"/>
    <w:rsid w:val="00A749EB"/>
    <w:rsid w:val="00A804C4"/>
    <w:rsid w:val="00A83BFF"/>
    <w:rsid w:val="00A86478"/>
    <w:rsid w:val="00A95AEB"/>
    <w:rsid w:val="00A97DCA"/>
    <w:rsid w:val="00AA70C2"/>
    <w:rsid w:val="00AB4CB2"/>
    <w:rsid w:val="00AC20C7"/>
    <w:rsid w:val="00AC5879"/>
    <w:rsid w:val="00AC6DFC"/>
    <w:rsid w:val="00AE44D2"/>
    <w:rsid w:val="00AF013F"/>
    <w:rsid w:val="00B1792E"/>
    <w:rsid w:val="00B377CC"/>
    <w:rsid w:val="00B53E6D"/>
    <w:rsid w:val="00B649D7"/>
    <w:rsid w:val="00B72AA7"/>
    <w:rsid w:val="00B73B29"/>
    <w:rsid w:val="00B77157"/>
    <w:rsid w:val="00B801C1"/>
    <w:rsid w:val="00B834F3"/>
    <w:rsid w:val="00B92AD9"/>
    <w:rsid w:val="00BA71DF"/>
    <w:rsid w:val="00BB3AB5"/>
    <w:rsid w:val="00BB5F7F"/>
    <w:rsid w:val="00BD0013"/>
    <w:rsid w:val="00BF1F92"/>
    <w:rsid w:val="00BF3C98"/>
    <w:rsid w:val="00C03D86"/>
    <w:rsid w:val="00C04668"/>
    <w:rsid w:val="00C35E26"/>
    <w:rsid w:val="00C40E49"/>
    <w:rsid w:val="00C4702D"/>
    <w:rsid w:val="00C56FC9"/>
    <w:rsid w:val="00C8239C"/>
    <w:rsid w:val="00C82728"/>
    <w:rsid w:val="00CB02EB"/>
    <w:rsid w:val="00CB6390"/>
    <w:rsid w:val="00CC247C"/>
    <w:rsid w:val="00CC276E"/>
    <w:rsid w:val="00CC41AB"/>
    <w:rsid w:val="00CC44B9"/>
    <w:rsid w:val="00CC605A"/>
    <w:rsid w:val="00CD7EE7"/>
    <w:rsid w:val="00CE1484"/>
    <w:rsid w:val="00CF176C"/>
    <w:rsid w:val="00CF37E6"/>
    <w:rsid w:val="00D02BD9"/>
    <w:rsid w:val="00D12086"/>
    <w:rsid w:val="00D2749E"/>
    <w:rsid w:val="00D32855"/>
    <w:rsid w:val="00D50931"/>
    <w:rsid w:val="00D72ECF"/>
    <w:rsid w:val="00D77710"/>
    <w:rsid w:val="00D84010"/>
    <w:rsid w:val="00DA2ED3"/>
    <w:rsid w:val="00DB25B9"/>
    <w:rsid w:val="00DB2B26"/>
    <w:rsid w:val="00DB562B"/>
    <w:rsid w:val="00DC3461"/>
    <w:rsid w:val="00DC7690"/>
    <w:rsid w:val="00DD2260"/>
    <w:rsid w:val="00DE2C49"/>
    <w:rsid w:val="00DE5009"/>
    <w:rsid w:val="00DE6F68"/>
    <w:rsid w:val="00DF030C"/>
    <w:rsid w:val="00DF69C1"/>
    <w:rsid w:val="00E00358"/>
    <w:rsid w:val="00E14487"/>
    <w:rsid w:val="00E26A3A"/>
    <w:rsid w:val="00E31C42"/>
    <w:rsid w:val="00E33554"/>
    <w:rsid w:val="00E428D1"/>
    <w:rsid w:val="00E43550"/>
    <w:rsid w:val="00E51E5B"/>
    <w:rsid w:val="00E56CAC"/>
    <w:rsid w:val="00E76BC7"/>
    <w:rsid w:val="00E965F6"/>
    <w:rsid w:val="00E9677D"/>
    <w:rsid w:val="00EB63AB"/>
    <w:rsid w:val="00EC327B"/>
    <w:rsid w:val="00EE2FFD"/>
    <w:rsid w:val="00EE7C69"/>
    <w:rsid w:val="00F00191"/>
    <w:rsid w:val="00F02F9D"/>
    <w:rsid w:val="00F174C7"/>
    <w:rsid w:val="00F25F3F"/>
    <w:rsid w:val="00F45B7B"/>
    <w:rsid w:val="00F54DC3"/>
    <w:rsid w:val="00F57D23"/>
    <w:rsid w:val="00F844DF"/>
    <w:rsid w:val="00F9248F"/>
    <w:rsid w:val="00FB0302"/>
    <w:rsid w:val="00FB1080"/>
    <w:rsid w:val="00FE1772"/>
    <w:rsid w:val="00FE2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1"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annotation subjec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3B5AB6"/>
    <w:pPr>
      <w:keepNext/>
      <w:spacing w:before="240" w:after="60"/>
      <w:jc w:val="both"/>
      <w:outlineLvl w:val="0"/>
    </w:pPr>
    <w:rPr>
      <w:b/>
      <w:kern w:val="28"/>
      <w:sz w:val="28"/>
      <w:szCs w:val="20"/>
      <w:lang w:bidi="he-IL"/>
    </w:rPr>
  </w:style>
  <w:style w:type="paragraph" w:styleId="Heading2">
    <w:name w:val="heading 2"/>
    <w:basedOn w:val="Heading1"/>
    <w:next w:val="Normal"/>
    <w:qFormat/>
    <w:rsid w:val="003B5AB6"/>
    <w:pPr>
      <w:tabs>
        <w:tab w:val="num" w:pos="1440"/>
      </w:tabs>
      <w:spacing w:after="240"/>
      <w:ind w:left="1440" w:hanging="720"/>
      <w:jc w:val="left"/>
      <w:outlineLvl w:val="1"/>
    </w:pPr>
    <w:rPr>
      <w:kern w:val="0"/>
      <w:sz w:val="26"/>
    </w:rPr>
  </w:style>
  <w:style w:type="paragraph" w:styleId="Heading3">
    <w:name w:val="heading 3"/>
    <w:basedOn w:val="Normal"/>
    <w:next w:val="Normal"/>
    <w:qFormat/>
    <w:rsid w:val="003B5AB6"/>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3B5AB6"/>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3B5AB6"/>
    <w:pPr>
      <w:ind w:left="1134"/>
    </w:pPr>
    <w:rPr>
      <w:sz w:val="20"/>
    </w:rPr>
  </w:style>
  <w:style w:type="paragraph" w:styleId="Footer">
    <w:name w:val="footer"/>
    <w:basedOn w:val="Normal"/>
    <w:rsid w:val="003B5AB6"/>
    <w:pPr>
      <w:tabs>
        <w:tab w:val="center" w:pos="4153"/>
        <w:tab w:val="right" w:pos="8306"/>
      </w:tabs>
    </w:pPr>
  </w:style>
  <w:style w:type="paragraph" w:styleId="Header">
    <w:name w:val="header"/>
    <w:basedOn w:val="Normal"/>
    <w:rsid w:val="003B5AB6"/>
    <w:pPr>
      <w:tabs>
        <w:tab w:val="center" w:pos="4153"/>
        <w:tab w:val="right" w:pos="8306"/>
      </w:tabs>
      <w:jc w:val="both"/>
    </w:pPr>
    <w:rPr>
      <w:sz w:val="16"/>
      <w:szCs w:val="20"/>
      <w:lang w:bidi="he-IL"/>
    </w:rPr>
  </w:style>
  <w:style w:type="paragraph" w:styleId="EnvelopeReturn">
    <w:name w:val="envelope return"/>
    <w:basedOn w:val="Normal"/>
    <w:rsid w:val="003B5AB6"/>
    <w:rPr>
      <w:i/>
      <w:sz w:val="48"/>
      <w:szCs w:val="48"/>
    </w:rPr>
  </w:style>
  <w:style w:type="paragraph" w:styleId="CommentText">
    <w:name w:val="annotation text"/>
    <w:basedOn w:val="Normal"/>
    <w:link w:val="CommentTextChar"/>
    <w:semiHidden/>
    <w:rsid w:val="003B5AB6"/>
    <w:rPr>
      <w:rFonts w:cs="Times New Roman"/>
      <w:sz w:val="24"/>
    </w:rPr>
  </w:style>
  <w:style w:type="paragraph" w:customStyle="1" w:styleId="Answer">
    <w:name w:val="Answer"/>
    <w:basedOn w:val="Normal"/>
    <w:next w:val="Question"/>
    <w:rsid w:val="003B5AB6"/>
    <w:pPr>
      <w:numPr>
        <w:numId w:val="3"/>
      </w:numPr>
    </w:pPr>
    <w:rPr>
      <w:i/>
    </w:rPr>
  </w:style>
  <w:style w:type="paragraph" w:customStyle="1" w:styleId="Question">
    <w:name w:val="Question"/>
    <w:basedOn w:val="Normal"/>
    <w:next w:val="Answer"/>
    <w:rsid w:val="003B5AB6"/>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3B5AB6"/>
    <w:pPr>
      <w:jc w:val="center"/>
    </w:pPr>
    <w:rPr>
      <w:b/>
      <w:sz w:val="32"/>
      <w:u w:val="single"/>
    </w:rPr>
  </w:style>
  <w:style w:type="paragraph" w:styleId="PlainText">
    <w:name w:val="Plain Text"/>
    <w:basedOn w:val="Normal"/>
    <w:rsid w:val="003B5AB6"/>
    <w:rPr>
      <w:sz w:val="22"/>
    </w:rPr>
  </w:style>
  <w:style w:type="paragraph" w:customStyle="1" w:styleId="MergedAnswer">
    <w:name w:val="MergedAnswer"/>
    <w:basedOn w:val="Normal"/>
    <w:rsid w:val="003B5AB6"/>
  </w:style>
  <w:style w:type="paragraph" w:styleId="TOC2">
    <w:name w:val="toc 2"/>
    <w:basedOn w:val="Normal"/>
    <w:next w:val="Normal"/>
    <w:autoRedefine/>
    <w:semiHidden/>
    <w:rsid w:val="003B5AB6"/>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3B5AB6"/>
    <w:pPr>
      <w:spacing w:after="10" w:line="240" w:lineRule="auto"/>
    </w:pPr>
    <w:rPr>
      <w:bCs/>
      <w:sz w:val="32"/>
    </w:rPr>
  </w:style>
  <w:style w:type="paragraph" w:customStyle="1" w:styleId="WHITEPAPER">
    <w:name w:val="WHITE PAPER"/>
    <w:basedOn w:val="ColoredText"/>
    <w:rsid w:val="003B5AB6"/>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left" w:pos="170"/>
      </w:tabs>
      <w:spacing w:line="240" w:lineRule="exact"/>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3B5AB6"/>
    <w:rPr>
      <w:sz w:val="19"/>
    </w:rPr>
  </w:style>
  <w:style w:type="paragraph" w:styleId="TOC1">
    <w:name w:val="toc 1"/>
    <w:basedOn w:val="Normal"/>
    <w:next w:val="Normal"/>
    <w:semiHidden/>
    <w:rsid w:val="003B5AB6"/>
    <w:pPr>
      <w:tabs>
        <w:tab w:val="right" w:pos="3289"/>
      </w:tabs>
      <w:spacing w:line="360" w:lineRule="exact"/>
    </w:pPr>
    <w:rPr>
      <w:noProof/>
      <w:color w:val="FFFFFF"/>
      <w:sz w:val="24"/>
    </w:rPr>
  </w:style>
  <w:style w:type="paragraph" w:styleId="TOC3">
    <w:name w:val="toc 3"/>
    <w:basedOn w:val="Normal"/>
    <w:next w:val="Normal"/>
    <w:autoRedefine/>
    <w:semiHidden/>
    <w:rsid w:val="003B5AB6"/>
    <w:pPr>
      <w:ind w:left="440"/>
    </w:pPr>
  </w:style>
  <w:style w:type="paragraph" w:styleId="TOC4">
    <w:name w:val="toc 4"/>
    <w:basedOn w:val="Normal"/>
    <w:next w:val="Normal"/>
    <w:autoRedefine/>
    <w:semiHidden/>
    <w:rsid w:val="003B5AB6"/>
    <w:pPr>
      <w:ind w:left="660"/>
    </w:pPr>
  </w:style>
  <w:style w:type="paragraph" w:styleId="TOC5">
    <w:name w:val="toc 5"/>
    <w:basedOn w:val="Normal"/>
    <w:next w:val="Normal"/>
    <w:autoRedefine/>
    <w:semiHidden/>
    <w:rsid w:val="003B5AB6"/>
    <w:pPr>
      <w:ind w:left="880"/>
    </w:pPr>
  </w:style>
  <w:style w:type="paragraph" w:styleId="TOC6">
    <w:name w:val="toc 6"/>
    <w:basedOn w:val="Normal"/>
    <w:next w:val="Normal"/>
    <w:autoRedefine/>
    <w:semiHidden/>
    <w:rsid w:val="003B5AB6"/>
    <w:pPr>
      <w:ind w:left="1100"/>
    </w:pPr>
  </w:style>
  <w:style w:type="paragraph" w:styleId="TOC7">
    <w:name w:val="toc 7"/>
    <w:basedOn w:val="Normal"/>
    <w:next w:val="Normal"/>
    <w:autoRedefine/>
    <w:semiHidden/>
    <w:rsid w:val="003B5AB6"/>
    <w:pPr>
      <w:ind w:left="1320"/>
    </w:pPr>
  </w:style>
  <w:style w:type="paragraph" w:styleId="TOC8">
    <w:name w:val="toc 8"/>
    <w:basedOn w:val="Normal"/>
    <w:next w:val="Normal"/>
    <w:autoRedefine/>
    <w:semiHidden/>
    <w:rsid w:val="003B5AB6"/>
    <w:pPr>
      <w:ind w:left="1540"/>
    </w:pPr>
  </w:style>
  <w:style w:type="paragraph" w:styleId="TOC9">
    <w:name w:val="toc 9"/>
    <w:basedOn w:val="Normal"/>
    <w:next w:val="Normal"/>
    <w:autoRedefine/>
    <w:semiHidden/>
    <w:rsid w:val="003B5AB6"/>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sid w:val="003B5AB6"/>
    <w:rPr>
      <w:rFonts w:ascii="Segoe UI" w:hAnsi="Segoe UI" w:cs="Segoe UI"/>
      <w:lang w:val="en-GB" w:bidi="he-IL"/>
    </w:rPr>
  </w:style>
  <w:style w:type="paragraph" w:styleId="BodyText">
    <w:name w:val="Body Text"/>
    <w:basedOn w:val="Normal"/>
    <w:rsid w:val="003B5AB6"/>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3B5AB6"/>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3B5AB6"/>
    <w:rPr>
      <w:bCs/>
    </w:rPr>
  </w:style>
  <w:style w:type="paragraph" w:customStyle="1" w:styleId="Bulletbold">
    <w:name w:val="Bullet bold"/>
    <w:basedOn w:val="Bullet"/>
    <w:rsid w:val="003B5AB6"/>
    <w:pPr>
      <w:numPr>
        <w:numId w:val="9"/>
      </w:numPr>
    </w:pPr>
  </w:style>
  <w:style w:type="paragraph" w:customStyle="1" w:styleId="Contents">
    <w:name w:val="Contents"/>
    <w:basedOn w:val="Bodycopy"/>
    <w:rsid w:val="003B5AB6"/>
    <w:pPr>
      <w:spacing w:line="480" w:lineRule="exact"/>
    </w:pPr>
    <w:rPr>
      <w:color w:val="FFFFFF"/>
      <w:sz w:val="30"/>
    </w:rPr>
  </w:style>
  <w:style w:type="character" w:styleId="PageNumber">
    <w:name w:val="page number"/>
    <w:rsid w:val="003B5AB6"/>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3B5AB6"/>
    <w:pPr>
      <w:spacing w:line="240" w:lineRule="exact"/>
    </w:pPr>
    <w:rPr>
      <w:color w:val="FF3300"/>
    </w:rPr>
  </w:style>
  <w:style w:type="paragraph" w:customStyle="1" w:styleId="Casestudydescription">
    <w:name w:val="Case study description"/>
    <w:basedOn w:val="Normal"/>
    <w:rsid w:val="003B5AB6"/>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uiPriority w:val="99"/>
    <w:rsid w:val="003B5AB6"/>
    <w:rPr>
      <w:color w:val="FFFFFF"/>
      <w:sz w:val="19"/>
    </w:rPr>
  </w:style>
  <w:style w:type="paragraph" w:customStyle="1" w:styleId="Bullet2">
    <w:name w:val="Bullet2"/>
    <w:basedOn w:val="Bullet"/>
    <w:rsid w:val="003B5AB6"/>
    <w:pPr>
      <w:numPr>
        <w:numId w:val="0"/>
      </w:numPr>
      <w:ind w:left="170"/>
    </w:pPr>
  </w:style>
  <w:style w:type="paragraph" w:customStyle="1" w:styleId="SectionHeadingGrey">
    <w:name w:val="Section Heading Grey"/>
    <w:basedOn w:val="SectionHeading"/>
    <w:rsid w:val="003B5AB6"/>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3B5AB6"/>
    <w:pPr>
      <w:ind w:left="60"/>
    </w:pPr>
    <w:rPr>
      <w:color w:val="FFFFFF"/>
      <w:szCs w:val="17"/>
    </w:rPr>
  </w:style>
  <w:style w:type="paragraph" w:styleId="EnvelopeAddress">
    <w:name w:val="envelope address"/>
    <w:basedOn w:val="Normal"/>
    <w:rsid w:val="003B5AB6"/>
    <w:pPr>
      <w:framePr w:w="7920" w:h="1980" w:hRule="exact" w:hSpace="180" w:wrap="auto" w:hAnchor="page" w:xAlign="center" w:yAlign="bottom"/>
      <w:ind w:left="2880"/>
    </w:pPr>
    <w:rPr>
      <w:sz w:val="24"/>
    </w:rPr>
  </w:style>
  <w:style w:type="paragraph" w:customStyle="1" w:styleId="BulletLevel2">
    <w:name w:val="Bullet Level2"/>
    <w:basedOn w:val="BulletGrey"/>
    <w:rsid w:val="003B5AB6"/>
    <w:pPr>
      <w:numPr>
        <w:numId w:val="8"/>
      </w:numPr>
      <w:tabs>
        <w:tab w:val="clear" w:pos="170"/>
      </w:tabs>
    </w:pPr>
  </w:style>
  <w:style w:type="paragraph" w:styleId="BalloonText">
    <w:name w:val="Balloon Text"/>
    <w:basedOn w:val="Normal"/>
    <w:semiHidden/>
    <w:rsid w:val="003B5AB6"/>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9A38CD"/>
    <w:rPr>
      <w:rFonts w:ascii="Segoe UI" w:hAnsi="Segoe UI" w:cs="Segoe UI"/>
      <w:sz w:val="16"/>
      <w:szCs w:val="16"/>
    </w:rPr>
  </w:style>
  <w:style w:type="paragraph" w:customStyle="1" w:styleId="BodyCopy0">
    <w:name w:val="Body Copy"/>
    <w:basedOn w:val="Normal"/>
    <w:qFormat/>
    <w:rsid w:val="009A38CD"/>
    <w:rPr>
      <w:rFonts w:ascii="Arial" w:hAnsi="Arial" w:cs="Times New Roman"/>
      <w:sz w:val="22"/>
      <w:lang w:val="en-US"/>
    </w:rPr>
  </w:style>
  <w:style w:type="paragraph" w:customStyle="1" w:styleId="Softwareandservices">
    <w:name w:val="Software and services"/>
    <w:basedOn w:val="Normal"/>
    <w:rsid w:val="009A38CD"/>
    <w:pPr>
      <w:suppressAutoHyphens/>
      <w:spacing w:line="240" w:lineRule="exact"/>
      <w:ind w:left="216" w:hanging="216"/>
    </w:pPr>
    <w:rPr>
      <w:rFonts w:ascii="Arial" w:hAnsi="Arial" w:cs="Times New Roman"/>
      <w:color w:val="E3782F"/>
      <w:sz w:val="20"/>
      <w:szCs w:val="16"/>
      <w:lang w:val="en-US" w:bidi="he-IL"/>
    </w:rPr>
  </w:style>
  <w:style w:type="paragraph" w:customStyle="1" w:styleId="ColContin1">
    <w:name w:val="Col Contin 1"/>
    <w:basedOn w:val="Normal"/>
    <w:rsid w:val="009A38CD"/>
    <w:pPr>
      <w:tabs>
        <w:tab w:val="left" w:pos="1920"/>
      </w:tabs>
      <w:autoSpaceDE w:val="0"/>
      <w:autoSpaceDN w:val="0"/>
      <w:adjustRightInd w:val="0"/>
      <w:ind w:firstLine="1920"/>
    </w:pPr>
    <w:rPr>
      <w:rFonts w:ascii="Courier New" w:hAnsi="Courier New" w:cs="Times New Roman"/>
      <w:sz w:val="24"/>
      <w:lang w:val="en-US"/>
    </w:rPr>
  </w:style>
  <w:style w:type="paragraph" w:styleId="CommentSubject">
    <w:name w:val="annotation subject"/>
    <w:basedOn w:val="CommentText"/>
    <w:next w:val="CommentText"/>
    <w:link w:val="CommentSubjectChar"/>
    <w:uiPriority w:val="99"/>
    <w:rsid w:val="009538AB"/>
    <w:rPr>
      <w:b/>
      <w:bCs/>
      <w:sz w:val="20"/>
      <w:szCs w:val="20"/>
    </w:rPr>
  </w:style>
  <w:style w:type="character" w:customStyle="1" w:styleId="CommentTextChar">
    <w:name w:val="Comment Text Char"/>
    <w:link w:val="CommentText"/>
    <w:semiHidden/>
    <w:rsid w:val="009538AB"/>
    <w:rPr>
      <w:rFonts w:ascii="Segoe UI" w:hAnsi="Segoe UI" w:cs="Segoe UI"/>
      <w:sz w:val="24"/>
      <w:szCs w:val="24"/>
      <w:lang w:val="en-GB"/>
    </w:rPr>
  </w:style>
  <w:style w:type="character" w:customStyle="1" w:styleId="CommentSubjectChar">
    <w:name w:val="Comment Subject Char"/>
    <w:basedOn w:val="CommentTextChar"/>
    <w:link w:val="CommentSubject"/>
    <w:uiPriority w:val="99"/>
    <w:rsid w:val="009538AB"/>
    <w:rPr>
      <w:rFonts w:ascii="Segoe UI" w:hAnsi="Segoe UI" w:cs="Segoe UI"/>
      <w:sz w:val="24"/>
      <w:szCs w:val="24"/>
      <w:lang w:val="en-GB"/>
    </w:rPr>
  </w:style>
  <w:style w:type="paragraph" w:styleId="NoSpacing">
    <w:name w:val="No Spacing"/>
    <w:uiPriority w:val="99"/>
    <w:qFormat/>
    <w:rsid w:val="006950FD"/>
    <w:rPr>
      <w:rFonts w:ascii="Calibri" w:eastAsia="Calibri" w:hAnsi="Calibri"/>
      <w:sz w:val="22"/>
      <w:szCs w:val="22"/>
    </w:rPr>
  </w:style>
  <w:style w:type="paragraph" w:styleId="Revision">
    <w:name w:val="Revision"/>
    <w:hidden/>
    <w:uiPriority w:val="99"/>
    <w:semiHidden/>
    <w:rsid w:val="006950FD"/>
    <w:rPr>
      <w:rFonts w:ascii="Segoe UI" w:hAnsi="Segoe UI" w:cs="Segoe UI"/>
      <w:sz w:val="17"/>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hyperlink" Target="http://www.microsoft.com/dynamics/en/us/events.aspx" TargetMode="External"/><Relationship Id="rId3" Type="http://schemas.openxmlformats.org/officeDocument/2006/relationships/customXml" Target="../customXml/item3.xml"/><Relationship Id="rId21" Type="http://schemas.openxmlformats.org/officeDocument/2006/relationships/hyperlink" Target="http://www.thomascook.s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download.microsoft.com/download/5/8/8/5888391D-B2F9-4F38-87AB-377CD195ECE0/NAV2009_RoleTailored_brochure.xp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nabsolutions.se"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download.microsoft.com/download/5/8/8/5888391D-B2F9-4F38-87AB-377CD195ECE0/NAV2009_overviewbrochure.xps" TargetMode="External"/><Relationship Id="rId32"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wmf"/><Relationship Id="rId28" Type="http://schemas.openxmlformats.org/officeDocument/2006/relationships/hyperlink" Target="http://www.thomascook.se"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microsoft.com/dynamics/nav" TargetMode="External"/><Relationship Id="rId27" Type="http://schemas.openxmlformats.org/officeDocument/2006/relationships/hyperlink" Target="http://www.microsoft.com" TargetMode="External"/><Relationship Id="rId30" Type="http://schemas.openxmlformats.org/officeDocument/2006/relationships/hyperlink" Target="http://www.microsoft.com/dynam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33B8C2AC207547911762CE6F73F93E" ma:contentTypeVersion="1" ma:contentTypeDescription="Create a new document." ma:contentTypeScope="" ma:versionID="76e90590e7f2a89f813db8f7cf2e6597">
  <xsd:schema xmlns:xsd="http://www.w3.org/2001/XMLSchema" xmlns:p="http://schemas.microsoft.com/office/2006/metadata/properties" targetNamespace="http://schemas.microsoft.com/office/2006/metadata/properties" ma:root="true" ma:fieldsID="b8fc5c2e90e6856449d7f6ce278442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C74E7DC-E4E7-4F8E-8AC0-7998BF4A9FE2}">
  <ds:schemaRefs>
    <ds:schemaRef ds:uri="http://schemas.microsoft.com/office/2006/metadata/properties"/>
  </ds:schemaRefs>
</ds:datastoreItem>
</file>

<file path=customXml/itemProps2.xml><?xml version="1.0" encoding="utf-8"?>
<ds:datastoreItem xmlns:ds="http://schemas.openxmlformats.org/officeDocument/2006/customXml" ds:itemID="{11909874-D549-4B02-883E-62259A9808D1}">
  <ds:schemaRefs>
    <ds:schemaRef ds:uri="http://schemas.microsoft.com/sharepoint/v3/contenttype/forms"/>
  </ds:schemaRefs>
</ds:datastoreItem>
</file>

<file path=customXml/itemProps3.xml><?xml version="1.0" encoding="utf-8"?>
<ds:datastoreItem xmlns:ds="http://schemas.openxmlformats.org/officeDocument/2006/customXml" ds:itemID="{04A995C5-1FE3-429F-9E2D-6A251DA1E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CEP_Template</Template>
  <TotalTime>0</TotalTime>
  <Pages>5</Pages>
  <Words>1909</Words>
  <Characters>10886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12770</CharactersWithSpaces>
  <SharedDoc>false</SharedDoc>
  <HLinks>
    <vt:vector size="66" baseType="variant">
      <vt:variant>
        <vt:i4>5963841</vt:i4>
      </vt:variant>
      <vt:variant>
        <vt:i4>24</vt:i4>
      </vt:variant>
      <vt:variant>
        <vt:i4>0</vt:i4>
      </vt:variant>
      <vt:variant>
        <vt:i4>5</vt:i4>
      </vt:variant>
      <vt:variant>
        <vt:lpwstr>http://www.microsoft.com/dynamics</vt:lpwstr>
      </vt:variant>
      <vt:variant>
        <vt:lpwstr/>
      </vt:variant>
      <vt:variant>
        <vt:i4>6029323</vt:i4>
      </vt:variant>
      <vt:variant>
        <vt:i4>21</vt:i4>
      </vt:variant>
      <vt:variant>
        <vt:i4>0</vt:i4>
      </vt:variant>
      <vt:variant>
        <vt:i4>5</vt:i4>
      </vt:variant>
      <vt:variant>
        <vt:lpwstr>http://www.nodus.com/</vt:lpwstr>
      </vt:variant>
      <vt:variant>
        <vt:lpwstr/>
      </vt:variant>
      <vt:variant>
        <vt:i4>7405617</vt:i4>
      </vt:variant>
      <vt:variant>
        <vt:i4>18</vt:i4>
      </vt:variant>
      <vt:variant>
        <vt:i4>0</vt:i4>
      </vt:variant>
      <vt:variant>
        <vt:i4>5</vt:i4>
      </vt:variant>
      <vt:variant>
        <vt:lpwstr>http://www.microsoft.com/dynamics/en/us/products/gp-field-service.aspx</vt:lpwstr>
      </vt:variant>
      <vt:variant>
        <vt:lpwstr/>
      </vt:variant>
      <vt:variant>
        <vt:i4>4784134</vt:i4>
      </vt:variant>
      <vt:variant>
        <vt:i4>15</vt:i4>
      </vt:variant>
      <vt:variant>
        <vt:i4>0</vt:i4>
      </vt:variant>
      <vt:variant>
        <vt:i4>5</vt:i4>
      </vt:variant>
      <vt:variant>
        <vt:lpwstr>http://www.lanactech.com/</vt:lpwstr>
      </vt:variant>
      <vt:variant>
        <vt:lpwstr/>
      </vt:variant>
      <vt:variant>
        <vt:i4>2687027</vt:i4>
      </vt:variant>
      <vt:variant>
        <vt:i4>12</vt:i4>
      </vt:variant>
      <vt:variant>
        <vt:i4>0</vt:i4>
      </vt:variant>
      <vt:variant>
        <vt:i4>5</vt:i4>
      </vt:variant>
      <vt:variant>
        <vt:lpwstr>http://www.microsoft.com/sharepoint</vt:lpwstr>
      </vt:variant>
      <vt:variant>
        <vt:lpwstr/>
      </vt:variant>
      <vt:variant>
        <vt:i4>5177433</vt:i4>
      </vt:variant>
      <vt:variant>
        <vt:i4>9</vt:i4>
      </vt:variant>
      <vt:variant>
        <vt:i4>0</vt:i4>
      </vt:variant>
      <vt:variant>
        <vt:i4>5</vt:i4>
      </vt:variant>
      <vt:variant>
        <vt:lpwstr>http://crm.dynamics.com/</vt:lpwstr>
      </vt:variant>
      <vt:variant>
        <vt:lpwstr/>
      </vt:variant>
      <vt:variant>
        <vt:i4>262229</vt:i4>
      </vt:variant>
      <vt:variant>
        <vt:i4>6</vt:i4>
      </vt:variant>
      <vt:variant>
        <vt:i4>0</vt:i4>
      </vt:variant>
      <vt:variant>
        <vt:i4>5</vt:i4>
      </vt:variant>
      <vt:variant>
        <vt:lpwstr>http://www.microsoft.com/dynamics/gp</vt:lpwstr>
      </vt:variant>
      <vt:variant>
        <vt:lpwstr/>
      </vt:variant>
      <vt:variant>
        <vt:i4>2883619</vt:i4>
      </vt:variant>
      <vt:variant>
        <vt:i4>3</vt:i4>
      </vt:variant>
      <vt:variant>
        <vt:i4>0</vt:i4>
      </vt:variant>
      <vt:variant>
        <vt:i4>5</vt:i4>
      </vt:variant>
      <vt:variant>
        <vt:lpwstr>http://www.jetsupport.com/</vt:lpwstr>
      </vt:variant>
      <vt:variant>
        <vt:lpwstr/>
      </vt:variant>
      <vt:variant>
        <vt:i4>4784134</vt:i4>
      </vt:variant>
      <vt:variant>
        <vt:i4>6</vt:i4>
      </vt:variant>
      <vt:variant>
        <vt:i4>0</vt:i4>
      </vt:variant>
      <vt:variant>
        <vt:i4>5</vt:i4>
      </vt:variant>
      <vt:variant>
        <vt:lpwstr>http://www.lanactech.com/</vt:lpwstr>
      </vt:variant>
      <vt:variant>
        <vt:lpwstr/>
      </vt:variant>
      <vt:variant>
        <vt:i4>2883619</vt:i4>
      </vt:variant>
      <vt:variant>
        <vt:i4>3</vt:i4>
      </vt:variant>
      <vt:variant>
        <vt:i4>0</vt:i4>
      </vt:variant>
      <vt:variant>
        <vt:i4>5</vt:i4>
      </vt:variant>
      <vt:variant>
        <vt:lpwstr>http://www.jetsupport.com/</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2010-11-02T20:28:00Z</dcterms:created>
  <dcterms:modified xsi:type="dcterms:W3CDTF">2010-11-03T16:22:00Z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0x0101004C33B8C2AC207547911762CE6F73F93E</vt:lpwstr>
  </property>
</Properties>
</file>