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EA" w:rsidRPr="00244AA3" w:rsidRDefault="00296F94" w:rsidP="00ED13EA">
      <w:pPr>
        <w:rPr>
          <w:lang w:val="en-US"/>
        </w:rPr>
      </w:pPr>
      <w:r>
        <w:rPr>
          <w:lang w:val="en-US" w:eastAsia="en-GB"/>
        </w:rPr>
        <w:pict>
          <v:shapetype id="_x0000_t202" coordsize="21600,21600" o:spt="202" path="m,l,21600r21600,l21600,xe">
            <v:stroke joinstyle="miter"/>
            <v:path gradientshapeok="t" o:connecttype="rect"/>
          </v:shapetype>
          <v:shape id="_x0000_s1161" type="#_x0000_t202" style="position:absolute;margin-left:42.55pt;margin-top:618.15pt;width:158.75pt;height:79.35pt;z-index:251655680;mso-position-horizontal-relative:page;mso-position-vertical-relative:page" stroked="f">
            <v:textbox style="mso-next-textbox:#_x0000_s1161" inset="0,0,0,0">
              <w:txbxContent>
                <w:p w:rsidR="0001553F" w:rsidRDefault="0001553F" w:rsidP="00C51F7C">
                  <w:r w:rsidRPr="00B2076B">
                    <w:t xml:space="preserve">For more information about other Microsoft customer successes, please visit: </w:t>
                  </w:r>
                  <w:hyperlink r:id="rId7" w:history="1">
                    <w:r>
                      <w:rPr>
                        <w:rStyle w:val="URL"/>
                      </w:rPr>
                      <w:t>www.microsoft.com/casestudies</w:t>
                    </w:r>
                  </w:hyperlink>
                </w:p>
                <w:p w:rsidR="0001553F" w:rsidRDefault="0001553F" w:rsidP="00C51F7C"/>
                <w:p w:rsidR="0001553F" w:rsidRDefault="000140CE" w:rsidP="0001553F">
                  <w:r>
                    <w:t xml:space="preserve">For more information about NextCorp, visit: </w:t>
                  </w:r>
                  <w:hyperlink r:id="rId8" w:history="1">
                    <w:r w:rsidR="0001553F" w:rsidRPr="00A87964">
                      <w:rPr>
                        <w:rStyle w:val="Hyperlink"/>
                      </w:rPr>
                      <w:t>www.nextcorp.com</w:t>
                    </w:r>
                  </w:hyperlink>
                  <w:r>
                    <w:t xml:space="preserve"> or</w:t>
                  </w:r>
                  <w:r w:rsidR="0001553F">
                    <w:t xml:space="preserve"> </w:t>
                  </w:r>
                  <w:hyperlink r:id="rId9" w:history="1">
                    <w:r w:rsidR="0001553F" w:rsidRPr="00A87964">
                      <w:rPr>
                        <w:rStyle w:val="Hyperlink"/>
                      </w:rPr>
                      <w:t>www.getsmb.com</w:t>
                    </w:r>
                  </w:hyperlink>
                  <w:r w:rsidR="0001553F">
                    <w:t xml:space="preserve"> </w:t>
                  </w:r>
                </w:p>
              </w:txbxContent>
            </v:textbox>
            <w10:wrap anchorx="page" anchory="page"/>
            <w10:anchorlock/>
          </v:shape>
        </w:pict>
      </w:r>
      <w:r>
        <w:rPr>
          <w:lang w:val="en-US" w:eastAsia="en-GB"/>
        </w:rPr>
        <w:pict>
          <v:shape id="_x0000_s1157" type="#_x0000_t202" style="position:absolute;margin-left:42.55pt;margin-top:221.75pt;width:155.9pt;height:335.1pt;z-index:251654656;mso-position-horizontal-relative:page;mso-position-vertical-relative:page" stroked="f">
            <v:textbox style="mso-next-textbox:#_x0000_s1157" inset="0,0,0,0">
              <w:txbxContent>
                <w:p w:rsidR="0001553F" w:rsidRDefault="0001553F" w:rsidP="008C0428">
                  <w:pPr>
                    <w:pStyle w:val="Bodycopy"/>
                  </w:pPr>
                  <w:r>
                    <w:rPr>
                      <w:b/>
                    </w:rPr>
                    <w:t>Customer:</w:t>
                  </w:r>
                  <w:r>
                    <w:t xml:space="preserve"> </w:t>
                  </w:r>
                  <w:r w:rsidRPr="001E63C2">
                    <w:t>CareFlite</w:t>
                  </w:r>
                </w:p>
                <w:p w:rsidR="0001553F" w:rsidRDefault="0001553F" w:rsidP="008C0428">
                  <w:pPr>
                    <w:pStyle w:val="Bodycopy"/>
                  </w:pPr>
                  <w:r>
                    <w:rPr>
                      <w:b/>
                    </w:rPr>
                    <w:t>Web Site:</w:t>
                  </w:r>
                  <w:r w:rsidRPr="007B198F">
                    <w:t xml:space="preserve"> </w:t>
                  </w:r>
                  <w:hyperlink r:id="rId10" w:history="1">
                    <w:r w:rsidRPr="0027083E">
                      <w:rPr>
                        <w:rStyle w:val="Hyperlink"/>
                      </w:rPr>
                      <w:t>www.careflite.org</w:t>
                    </w:r>
                  </w:hyperlink>
                </w:p>
                <w:p w:rsidR="0001553F" w:rsidRDefault="0001553F" w:rsidP="008C0428">
                  <w:pPr>
                    <w:pStyle w:val="Bodycopy"/>
                  </w:pPr>
                  <w:r>
                    <w:rPr>
                      <w:b/>
                    </w:rPr>
                    <w:t>Customer Size:</w:t>
                  </w:r>
                  <w:r w:rsidRPr="007B198F">
                    <w:t xml:space="preserve"> </w:t>
                  </w:r>
                  <w:r>
                    <w:t>450 employees</w:t>
                  </w:r>
                </w:p>
                <w:p w:rsidR="0001553F" w:rsidRDefault="0001553F" w:rsidP="008C0428">
                  <w:pPr>
                    <w:pStyle w:val="Bodycopy"/>
                  </w:pPr>
                  <w:r>
                    <w:rPr>
                      <w:b/>
                    </w:rPr>
                    <w:t>Country or Region:</w:t>
                  </w:r>
                  <w:r>
                    <w:t xml:space="preserve"> United States</w:t>
                  </w:r>
                </w:p>
                <w:p w:rsidR="0001553F" w:rsidRDefault="0001553F" w:rsidP="008C0428">
                  <w:pPr>
                    <w:pStyle w:val="Bodycopy"/>
                  </w:pPr>
                  <w:r>
                    <w:rPr>
                      <w:b/>
                    </w:rPr>
                    <w:t>Industry:</w:t>
                  </w:r>
                  <w:r>
                    <w:t xml:space="preserve"> </w:t>
                  </w:r>
                  <w:r w:rsidRPr="001E63C2">
                    <w:t>Nonprofit organizations—Membership organizations</w:t>
                  </w:r>
                </w:p>
                <w:p w:rsidR="0001553F" w:rsidRDefault="0001553F" w:rsidP="008C0428">
                  <w:pPr>
                    <w:pStyle w:val="Bodycopy"/>
                  </w:pPr>
                  <w:r>
                    <w:rPr>
                      <w:b/>
                    </w:rPr>
                    <w:t>Partner:</w:t>
                  </w:r>
                  <w:r>
                    <w:t xml:space="preserve"> NextCorp</w:t>
                  </w:r>
                </w:p>
                <w:p w:rsidR="0001553F" w:rsidRDefault="0001553F" w:rsidP="008C0428">
                  <w:pPr>
                    <w:pStyle w:val="Bodycopy"/>
                  </w:pPr>
                </w:p>
                <w:p w:rsidR="0001553F" w:rsidRDefault="0001553F" w:rsidP="008C0428">
                  <w:pPr>
                    <w:pStyle w:val="Bodycopyheading"/>
                  </w:pPr>
                  <w:r>
                    <w:t>Customer Profile</w:t>
                  </w:r>
                </w:p>
                <w:p w:rsidR="0001553F" w:rsidRDefault="0001553F" w:rsidP="008C0428">
                  <w:pPr>
                    <w:pStyle w:val="Bodycopy"/>
                  </w:pPr>
                  <w:r w:rsidRPr="001E63C2">
                    <w:t>CareFlite serves more than 100 counties surrounding the Dallas-Fort Worth-Arlington metropolitan area with helicopter, fixed-wing aircraft, and ground medical</w:t>
                  </w:r>
                  <w:r w:rsidR="00244AA3">
                    <w:t>-</w:t>
                  </w:r>
                  <w:r w:rsidRPr="001E63C2">
                    <w:t>transport services.</w:t>
                  </w:r>
                </w:p>
                <w:p w:rsidR="0001553F" w:rsidRDefault="0001553F" w:rsidP="008C0428">
                  <w:pPr>
                    <w:pStyle w:val="Bodycopy"/>
                  </w:pPr>
                </w:p>
                <w:p w:rsidR="0001553F" w:rsidRDefault="0001553F" w:rsidP="00F319F9">
                  <w:pPr>
                    <w:pStyle w:val="Bodycopyheading"/>
                  </w:pPr>
                  <w:r>
                    <w:t>Software and Services</w:t>
                  </w:r>
                </w:p>
                <w:p w:rsidR="0001553F" w:rsidRDefault="0001553F" w:rsidP="001E63C2">
                  <w:pPr>
                    <w:pStyle w:val="Bullet"/>
                  </w:pPr>
                  <w:r>
                    <w:t>Microsoft Dynamics</w:t>
                  </w:r>
                </w:p>
                <w:p w:rsidR="0001553F" w:rsidRPr="00FB70FF" w:rsidRDefault="0001553F" w:rsidP="001E63C2">
                  <w:pPr>
                    <w:pStyle w:val="BulletLevel2"/>
                  </w:pPr>
                  <w:r w:rsidRPr="00FB70FF">
                    <w:t>Microsoft Dynamics GP 2010</w:t>
                  </w:r>
                </w:p>
                <w:p w:rsidR="0001553F" w:rsidRDefault="0001553F" w:rsidP="001E63C2">
                  <w:pPr>
                    <w:pStyle w:val="Bullet"/>
                  </w:pPr>
                  <w:r>
                    <w:t>Services</w:t>
                  </w:r>
                </w:p>
                <w:p w:rsidR="0001553F" w:rsidRPr="002F4FEB" w:rsidRDefault="0001553F" w:rsidP="001E63C2">
                  <w:pPr>
                    <w:pStyle w:val="BulletLevel2"/>
                    <w:rPr>
                      <w:b/>
                    </w:rPr>
                  </w:pPr>
                  <w:r w:rsidRPr="00FB70FF">
                    <w:t>Business Ready Enhancement Plan</w:t>
                  </w:r>
                </w:p>
                <w:p w:rsidR="002F4FEB" w:rsidRPr="00FB70FF" w:rsidRDefault="002F4FEB" w:rsidP="001E63C2">
                  <w:pPr>
                    <w:pStyle w:val="BulletLevel2"/>
                    <w:rPr>
                      <w:b/>
                    </w:rPr>
                  </w:pPr>
                  <w:r>
                    <w:t>Software hosting</w:t>
                  </w:r>
                </w:p>
                <w:p w:rsidR="0001553F" w:rsidRPr="001E63C2" w:rsidRDefault="0001553F" w:rsidP="001E63C2">
                  <w:pPr>
                    <w:pStyle w:val="Bodycopy"/>
                  </w:pPr>
                </w:p>
              </w:txbxContent>
            </v:textbox>
            <w10:wrap anchorx="page" anchory="page"/>
            <w10:anchorlock/>
          </v:shape>
        </w:pict>
      </w:r>
    </w:p>
    <w:tbl>
      <w:tblPr>
        <w:tblpPr w:leftFromText="181" w:rightFromText="181" w:vertAnchor="page" w:horzAnchor="page" w:tblpY="1"/>
        <w:tblOverlap w:val="never"/>
        <w:tblW w:w="11520" w:type="dxa"/>
        <w:tblLayout w:type="fixed"/>
        <w:tblCellMar>
          <w:left w:w="0" w:type="dxa"/>
          <w:right w:w="0" w:type="dxa"/>
        </w:tblCellMar>
        <w:tblLook w:val="0000"/>
      </w:tblPr>
      <w:tblGrid>
        <w:gridCol w:w="860"/>
        <w:gridCol w:w="3393"/>
        <w:gridCol w:w="284"/>
        <w:gridCol w:w="6983"/>
      </w:tblGrid>
      <w:tr w:rsidR="00ED13EA" w:rsidRPr="00244AA3" w:rsidTr="00244AA3">
        <w:trPr>
          <w:cantSplit/>
          <w:trHeight w:hRule="exact" w:val="1155"/>
        </w:trPr>
        <w:tc>
          <w:tcPr>
            <w:tcW w:w="4253" w:type="dxa"/>
            <w:gridSpan w:val="2"/>
            <w:vMerge w:val="restart"/>
          </w:tcPr>
          <w:p w:rsidR="00ED13EA" w:rsidRPr="00244AA3" w:rsidRDefault="00ED13EA" w:rsidP="00ED13EA">
            <w:pPr>
              <w:rPr>
                <w:lang w:val="en-US"/>
              </w:rPr>
            </w:pPr>
          </w:p>
        </w:tc>
        <w:tc>
          <w:tcPr>
            <w:tcW w:w="284" w:type="dxa"/>
            <w:vMerge w:val="restart"/>
          </w:tcPr>
          <w:p w:rsidR="00ED13EA" w:rsidRPr="00244AA3" w:rsidRDefault="00ED13EA" w:rsidP="00ED13EA">
            <w:pPr>
              <w:rPr>
                <w:lang w:val="en-US"/>
              </w:rPr>
            </w:pPr>
          </w:p>
        </w:tc>
        <w:tc>
          <w:tcPr>
            <w:tcW w:w="6983" w:type="dxa"/>
          </w:tcPr>
          <w:p w:rsidR="00ED13EA" w:rsidRPr="00244AA3" w:rsidRDefault="00ED13EA" w:rsidP="00ED13EA">
            <w:pPr>
              <w:pStyle w:val="StandFirstIntroduction"/>
              <w:rPr>
                <w:lang w:val="en-US"/>
              </w:rPr>
            </w:pPr>
          </w:p>
        </w:tc>
      </w:tr>
      <w:tr w:rsidR="00ED13EA" w:rsidRPr="00244AA3" w:rsidTr="00244AA3">
        <w:trPr>
          <w:cantSplit/>
          <w:trHeight w:val="768"/>
        </w:trPr>
        <w:tc>
          <w:tcPr>
            <w:tcW w:w="4253" w:type="dxa"/>
            <w:gridSpan w:val="2"/>
            <w:vMerge/>
          </w:tcPr>
          <w:p w:rsidR="00ED13EA" w:rsidRPr="00244AA3" w:rsidRDefault="00ED13EA" w:rsidP="00ED13EA">
            <w:pPr>
              <w:rPr>
                <w:lang w:val="en-US"/>
              </w:rPr>
            </w:pPr>
          </w:p>
        </w:tc>
        <w:tc>
          <w:tcPr>
            <w:tcW w:w="284" w:type="dxa"/>
            <w:vMerge/>
          </w:tcPr>
          <w:p w:rsidR="00ED13EA" w:rsidRPr="00244AA3" w:rsidRDefault="00ED13EA" w:rsidP="00ED13EA">
            <w:pPr>
              <w:rPr>
                <w:lang w:val="en-US"/>
              </w:rPr>
            </w:pPr>
          </w:p>
        </w:tc>
        <w:tc>
          <w:tcPr>
            <w:tcW w:w="6983" w:type="dxa"/>
            <w:vAlign w:val="bottom"/>
          </w:tcPr>
          <w:p w:rsidR="00F319F9" w:rsidRPr="00244AA3" w:rsidRDefault="00F319F9" w:rsidP="00ED13EA">
            <w:pPr>
              <w:pStyle w:val="Casestudydescription"/>
              <w:rPr>
                <w:lang w:val="en-US"/>
              </w:rPr>
            </w:pPr>
            <w:r w:rsidRPr="00244AA3">
              <w:rPr>
                <w:lang w:val="en-US"/>
              </w:rPr>
              <w:t>Microsoft Dynamics</w:t>
            </w:r>
          </w:p>
          <w:p w:rsidR="00ED13EA" w:rsidRPr="00244AA3" w:rsidRDefault="00F319F9" w:rsidP="00ED13EA">
            <w:pPr>
              <w:pStyle w:val="Casestudydescription"/>
              <w:rPr>
                <w:lang w:val="en-US"/>
              </w:rPr>
            </w:pPr>
            <w:r w:rsidRPr="00244AA3">
              <w:rPr>
                <w:lang w:val="en-US"/>
              </w:rPr>
              <w:t>Customer Solution Case Study</w:t>
            </w:r>
          </w:p>
        </w:tc>
      </w:tr>
      <w:tr w:rsidR="00ED13EA" w:rsidRPr="00244AA3" w:rsidTr="00244AA3">
        <w:trPr>
          <w:cantSplit/>
          <w:trHeight w:val="950"/>
        </w:trPr>
        <w:tc>
          <w:tcPr>
            <w:tcW w:w="4253" w:type="dxa"/>
            <w:gridSpan w:val="2"/>
            <w:vMerge/>
          </w:tcPr>
          <w:p w:rsidR="00ED13EA" w:rsidRPr="00244AA3" w:rsidRDefault="00ED13EA" w:rsidP="00ED13EA">
            <w:pPr>
              <w:rPr>
                <w:lang w:val="en-US"/>
              </w:rPr>
            </w:pPr>
          </w:p>
        </w:tc>
        <w:tc>
          <w:tcPr>
            <w:tcW w:w="284" w:type="dxa"/>
          </w:tcPr>
          <w:p w:rsidR="00ED13EA" w:rsidRPr="00244AA3" w:rsidRDefault="00ED13EA" w:rsidP="00ED13EA">
            <w:pPr>
              <w:rPr>
                <w:lang w:val="en-US"/>
              </w:rPr>
            </w:pPr>
          </w:p>
        </w:tc>
        <w:tc>
          <w:tcPr>
            <w:tcW w:w="6983" w:type="dxa"/>
          </w:tcPr>
          <w:p w:rsidR="00ED13EA" w:rsidRPr="00244AA3" w:rsidRDefault="00ED13EA" w:rsidP="00ED13EA">
            <w:pPr>
              <w:spacing w:after="80"/>
              <w:jc w:val="right"/>
              <w:rPr>
                <w:color w:val="FF9900"/>
                <w:lang w:val="en-US"/>
              </w:rPr>
            </w:pPr>
          </w:p>
        </w:tc>
      </w:tr>
      <w:tr w:rsidR="00ED13EA" w:rsidRPr="00244AA3" w:rsidTr="00244AA3">
        <w:trPr>
          <w:cantSplit/>
          <w:trHeight w:hRule="exact" w:val="949"/>
        </w:trPr>
        <w:tc>
          <w:tcPr>
            <w:tcW w:w="860" w:type="dxa"/>
            <w:vMerge w:val="restart"/>
          </w:tcPr>
          <w:p w:rsidR="00ED13EA" w:rsidRPr="00244AA3" w:rsidRDefault="00ED13EA" w:rsidP="00ED13EA">
            <w:pPr>
              <w:rPr>
                <w:lang w:val="en-US"/>
              </w:rPr>
            </w:pPr>
          </w:p>
        </w:tc>
        <w:tc>
          <w:tcPr>
            <w:tcW w:w="3393" w:type="dxa"/>
            <w:vMerge w:val="restart"/>
          </w:tcPr>
          <w:p w:rsidR="00ED13EA" w:rsidRPr="00244AA3" w:rsidRDefault="00ED13EA" w:rsidP="00ED13EA">
            <w:pPr>
              <w:rPr>
                <w:sz w:val="8"/>
                <w:lang w:val="en-US"/>
              </w:rPr>
            </w:pPr>
          </w:p>
          <w:p w:rsidR="00ED13EA" w:rsidRPr="00244AA3" w:rsidRDefault="00D602EC" w:rsidP="00ED13EA">
            <w:pPr>
              <w:rPr>
                <w:lang w:val="en-US"/>
              </w:rPr>
            </w:pPr>
            <w:r w:rsidRPr="00244AA3">
              <w:rPr>
                <w:lang w:val="en-US" w:eastAsia="ja-JP"/>
              </w:rPr>
              <w:t xml:space="preserve">            </w:t>
            </w:r>
            <w:r w:rsidR="00DA3675" w:rsidRPr="00244AA3">
              <w:rPr>
                <w:noProof/>
                <w:lang w:val="en-US" w:eastAsia="ja-JP"/>
              </w:rPr>
              <w:drawing>
                <wp:inline distT="0" distB="0" distL="0" distR="0">
                  <wp:extent cx="883285" cy="789940"/>
                  <wp:effectExtent l="19050" t="0" r="0" b="0"/>
                  <wp:docPr id="1" name="Picture 1" descr="CF 30t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 30th.bmp"/>
                          <pic:cNvPicPr>
                            <a:picLocks noChangeAspect="1" noChangeArrowheads="1"/>
                          </pic:cNvPicPr>
                        </pic:nvPicPr>
                        <pic:blipFill>
                          <a:blip r:embed="rId11" cstate="print"/>
                          <a:srcRect l="832" t="951"/>
                          <a:stretch>
                            <a:fillRect/>
                          </a:stretch>
                        </pic:blipFill>
                        <pic:spPr bwMode="auto">
                          <a:xfrm>
                            <a:off x="0" y="0"/>
                            <a:ext cx="883285" cy="789940"/>
                          </a:xfrm>
                          <a:prstGeom prst="rect">
                            <a:avLst/>
                          </a:prstGeom>
                          <a:noFill/>
                          <a:ln w="9525">
                            <a:noFill/>
                            <a:miter lim="800000"/>
                            <a:headEnd/>
                            <a:tailEnd/>
                          </a:ln>
                        </pic:spPr>
                      </pic:pic>
                    </a:graphicData>
                  </a:graphic>
                </wp:inline>
              </w:drawing>
            </w:r>
          </w:p>
        </w:tc>
        <w:tc>
          <w:tcPr>
            <w:tcW w:w="284" w:type="dxa"/>
            <w:tcBorders>
              <w:left w:val="nil"/>
            </w:tcBorders>
          </w:tcPr>
          <w:p w:rsidR="00ED13EA" w:rsidRPr="00244AA3" w:rsidRDefault="00ED13EA" w:rsidP="00ED13EA">
            <w:pPr>
              <w:rPr>
                <w:lang w:val="en-US"/>
              </w:rPr>
            </w:pPr>
          </w:p>
        </w:tc>
        <w:tc>
          <w:tcPr>
            <w:tcW w:w="6983" w:type="dxa"/>
          </w:tcPr>
          <w:p w:rsidR="00ED13EA" w:rsidRPr="00244AA3" w:rsidRDefault="00F319F9" w:rsidP="00ED13EA">
            <w:pPr>
              <w:pStyle w:val="DocumentTitle"/>
            </w:pPr>
            <w:r w:rsidRPr="00244AA3">
              <w:t>Medical T</w:t>
            </w:r>
            <w:r w:rsidR="00D602EC" w:rsidRPr="00244AA3">
              <w:t>ransport Group Improves Upgrade</w:t>
            </w:r>
            <w:r w:rsidRPr="00244AA3">
              <w:t xml:space="preserve"> </w:t>
            </w:r>
            <w:r w:rsidR="00244AA3">
              <w:t>a</w:t>
            </w:r>
            <w:r w:rsidRPr="00244AA3">
              <w:t>nd Productivity with Hosted Solution</w:t>
            </w:r>
            <w:r w:rsidR="00DA3675" w:rsidRPr="00244AA3">
              <w:rPr>
                <w:noProof/>
                <w:lang w:eastAsia="ja-JP"/>
              </w:rPr>
              <w:drawing>
                <wp:anchor distT="0" distB="0" distL="114300" distR="114300" simplePos="0" relativeHeight="251660800" behindDoc="1" locked="0" layoutInCell="0" allowOverlap="1">
                  <wp:simplePos x="0" y="0"/>
                  <wp:positionH relativeFrom="page">
                    <wp:posOffset>0</wp:posOffset>
                  </wp:positionH>
                  <wp:positionV relativeFrom="page">
                    <wp:posOffset>0</wp:posOffset>
                  </wp:positionV>
                  <wp:extent cx="7772400" cy="1532890"/>
                  <wp:effectExtent l="19050" t="0" r="0" b="0"/>
                  <wp:wrapNone/>
                  <wp:docPr id="141" name="Picture 141" descr="Dynamic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ynamics Header"/>
                          <pic:cNvPicPr>
                            <a:picLocks noChangeAspect="1" noChangeArrowheads="1"/>
                          </pic:cNvPicPr>
                        </pic:nvPicPr>
                        <pic:blipFill>
                          <a:blip r:embed="rId12" cstate="print"/>
                          <a:srcRect/>
                          <a:stretch>
                            <a:fillRect/>
                          </a:stretch>
                        </pic:blipFill>
                        <pic:spPr bwMode="auto">
                          <a:xfrm>
                            <a:off x="0" y="0"/>
                            <a:ext cx="7772400" cy="1532890"/>
                          </a:xfrm>
                          <a:prstGeom prst="rect">
                            <a:avLst/>
                          </a:prstGeom>
                          <a:noFill/>
                        </pic:spPr>
                      </pic:pic>
                    </a:graphicData>
                  </a:graphic>
                </wp:anchor>
              </w:drawing>
            </w:r>
          </w:p>
        </w:tc>
      </w:tr>
      <w:tr w:rsidR="00ED13EA" w:rsidRPr="00244AA3" w:rsidTr="00244AA3">
        <w:trPr>
          <w:cantSplit/>
        </w:trPr>
        <w:tc>
          <w:tcPr>
            <w:tcW w:w="860" w:type="dxa"/>
            <w:vMerge/>
          </w:tcPr>
          <w:p w:rsidR="00ED13EA" w:rsidRPr="00244AA3" w:rsidRDefault="00ED13EA" w:rsidP="00ED13EA">
            <w:pPr>
              <w:rPr>
                <w:lang w:val="en-US"/>
              </w:rPr>
            </w:pPr>
          </w:p>
        </w:tc>
        <w:tc>
          <w:tcPr>
            <w:tcW w:w="3393" w:type="dxa"/>
            <w:vMerge/>
            <w:tcBorders>
              <w:top w:val="single" w:sz="4" w:space="0" w:color="auto"/>
            </w:tcBorders>
          </w:tcPr>
          <w:p w:rsidR="00ED13EA" w:rsidRPr="00244AA3" w:rsidRDefault="00ED13EA" w:rsidP="00ED13EA">
            <w:pPr>
              <w:rPr>
                <w:lang w:val="en-US"/>
              </w:rPr>
            </w:pPr>
          </w:p>
        </w:tc>
        <w:tc>
          <w:tcPr>
            <w:tcW w:w="284" w:type="dxa"/>
            <w:tcBorders>
              <w:left w:val="nil"/>
            </w:tcBorders>
          </w:tcPr>
          <w:p w:rsidR="00ED13EA" w:rsidRPr="00244AA3" w:rsidRDefault="00ED13EA" w:rsidP="00ED13EA">
            <w:pPr>
              <w:rPr>
                <w:sz w:val="20"/>
                <w:lang w:val="en-US"/>
              </w:rPr>
            </w:pPr>
          </w:p>
        </w:tc>
        <w:tc>
          <w:tcPr>
            <w:tcW w:w="6983" w:type="dxa"/>
            <w:vAlign w:val="bottom"/>
          </w:tcPr>
          <w:p w:rsidR="00ED13EA" w:rsidRPr="00244AA3" w:rsidRDefault="00ED13EA" w:rsidP="00ED13EA">
            <w:pPr>
              <w:pStyle w:val="StandFirstIntroduction"/>
              <w:rPr>
                <w:lang w:val="en-US"/>
              </w:rPr>
            </w:pPr>
          </w:p>
        </w:tc>
      </w:tr>
    </w:tbl>
    <w:p w:rsidR="001F57ED" w:rsidRPr="00244AA3" w:rsidRDefault="001F57ED" w:rsidP="00BD3976">
      <w:pPr>
        <w:pStyle w:val="Pullquote"/>
      </w:pPr>
    </w:p>
    <w:p w:rsidR="001F57ED" w:rsidRPr="00244AA3" w:rsidRDefault="001F57ED" w:rsidP="00BD3976">
      <w:pPr>
        <w:pStyle w:val="Pullquote"/>
      </w:pPr>
    </w:p>
    <w:p w:rsidR="001F57ED" w:rsidRPr="00244AA3" w:rsidRDefault="001F57ED" w:rsidP="00BD3976">
      <w:pPr>
        <w:pStyle w:val="Pullquote"/>
      </w:pPr>
    </w:p>
    <w:p w:rsidR="001F57ED" w:rsidRPr="00244AA3" w:rsidRDefault="001F57ED" w:rsidP="00BD3976">
      <w:pPr>
        <w:pStyle w:val="Pullquote"/>
      </w:pPr>
    </w:p>
    <w:p w:rsidR="00BD3976" w:rsidRPr="00244AA3" w:rsidRDefault="00F319F9" w:rsidP="00BD3976">
      <w:pPr>
        <w:pStyle w:val="Pullquote"/>
      </w:pPr>
      <w:r w:rsidRPr="00244AA3">
        <w:t>“Our partner did a terrific job in making the upgrade as much of a nonissue for us as possible. The process was quick, safe, and simple, and now we are benefiting from a great, up-to-date solution.”</w:t>
      </w:r>
      <w:r w:rsidR="00296F94">
        <w:pict>
          <v:line id="ThinGreenLine" o:spid="_x0000_s1163" style="position:absolute;flip:x;z-index:251656704;mso-position-horizontal-relative:page;mso-position-vertical-relative:page" from="213.75pt,236.55pt" to="213.75pt,690.1pt" strokecolor="#a0a0a0">
            <w10:wrap anchorx="page" anchory="page"/>
          </v:line>
        </w:pict>
      </w:r>
    </w:p>
    <w:p w:rsidR="00BD3976" w:rsidRPr="00244AA3" w:rsidRDefault="00F319F9" w:rsidP="00BD3976">
      <w:pPr>
        <w:pStyle w:val="PullQuotecredit"/>
      </w:pPr>
      <w:r w:rsidRPr="00244AA3">
        <w:t>Anne Beck, Controller, CareFlite</w:t>
      </w:r>
    </w:p>
    <w:p w:rsidR="00BD3976" w:rsidRPr="00244AA3" w:rsidRDefault="00BD3976" w:rsidP="00BD3976">
      <w:pPr>
        <w:pStyle w:val="Bodycopy"/>
      </w:pPr>
    </w:p>
    <w:p w:rsidR="00BD3976" w:rsidRPr="00244AA3" w:rsidRDefault="00BD3976" w:rsidP="00DD69AC">
      <w:pPr>
        <w:pStyle w:val="SectionHeading"/>
        <w:sectPr w:rsidR="00BD3976" w:rsidRPr="00244AA3" w:rsidSect="00ED13EA">
          <w:headerReference w:type="even" r:id="rId13"/>
          <w:headerReference w:type="default" r:id="rId14"/>
          <w:footerReference w:type="even" r:id="rId15"/>
          <w:footerReference w:type="default" r:id="rId16"/>
          <w:headerReference w:type="first" r:id="rId17"/>
          <w:footerReference w:type="first" r:id="rId18"/>
          <w:type w:val="continuous"/>
          <w:pgSz w:w="12242" w:h="15842" w:code="1"/>
          <w:pgMar w:top="0" w:right="851" w:bottom="1321" w:left="851" w:header="0" w:footer="40" w:gutter="0"/>
          <w:cols w:num="2" w:space="720" w:equalWidth="0">
            <w:col w:w="3321" w:space="364"/>
            <w:col w:w="6855"/>
          </w:cols>
          <w:titlePg/>
          <w:docGrid w:linePitch="360"/>
        </w:sectPr>
      </w:pPr>
    </w:p>
    <w:p w:rsidR="00DD69AC" w:rsidRPr="00244AA3" w:rsidRDefault="00296F94" w:rsidP="00DD69AC">
      <w:pPr>
        <w:pStyle w:val="SectionHeading"/>
      </w:pPr>
      <w:r>
        <w:rPr>
          <w:lang w:eastAsia="en-GB"/>
        </w:rPr>
        <w:lastRenderedPageBreak/>
        <w:pict>
          <v:shape id="_x0000_s1159" type="#_x0000_t202" style="position:absolute;margin-left:42.55pt;margin-top:706.5pt;width:527.25pt;height:64.8pt;z-index:-251656704;mso-wrap-distance-top:2.85pt;mso-position-horizontal-relative:page;mso-position-vertical-relative:page" wrapcoords="-31 0 -31 21392 21600 21392 21600 0 -31 0" stroked="f">
            <v:textbox style="mso-next-textbox:#_x0000_s1159" inset="0,0,0,0">
              <w:txbxContent>
                <w:tbl>
                  <w:tblPr>
                    <w:tblW w:w="10548" w:type="dxa"/>
                    <w:tblLayout w:type="fixed"/>
                    <w:tblCellMar>
                      <w:left w:w="0" w:type="dxa"/>
                      <w:right w:w="0" w:type="dxa"/>
                    </w:tblCellMar>
                    <w:tblLook w:val="0000"/>
                  </w:tblPr>
                  <w:tblGrid>
                    <w:gridCol w:w="3119"/>
                    <w:gridCol w:w="284"/>
                    <w:gridCol w:w="284"/>
                    <w:gridCol w:w="6861"/>
                  </w:tblGrid>
                  <w:tr w:rsidR="0001553F" w:rsidTr="00331EAD">
                    <w:trPr>
                      <w:cantSplit/>
                      <w:trHeight w:val="1260"/>
                    </w:trPr>
                    <w:tc>
                      <w:tcPr>
                        <w:tcW w:w="3119" w:type="dxa"/>
                        <w:vAlign w:val="bottom"/>
                      </w:tcPr>
                      <w:p w:rsidR="0001553F" w:rsidRDefault="0001553F" w:rsidP="00C51F7C">
                        <w:r>
                          <w:t xml:space="preserve"> </w:t>
                        </w:r>
                        <w:r>
                          <w:rPr>
                            <w:noProof/>
                            <w:lang w:val="en-US" w:eastAsia="ja-JP"/>
                          </w:rPr>
                          <w:drawing>
                            <wp:inline distT="0" distB="0" distL="0" distR="0">
                              <wp:extent cx="1724025" cy="324464"/>
                              <wp:effectExtent l="19050" t="0" r="9525" b="0"/>
                              <wp:docPr id="3" name="Picture 2" descr="nc_ only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 only_logo_.jpg"/>
                                      <pic:cNvPicPr/>
                                    </pic:nvPicPr>
                                    <pic:blipFill>
                                      <a:blip r:embed="rId19"/>
                                      <a:stretch>
                                        <a:fillRect/>
                                      </a:stretch>
                                    </pic:blipFill>
                                    <pic:spPr>
                                      <a:xfrm>
                                        <a:off x="0" y="0"/>
                                        <a:ext cx="1729919" cy="325573"/>
                                      </a:xfrm>
                                      <a:prstGeom prst="rect">
                                        <a:avLst/>
                                      </a:prstGeom>
                                    </pic:spPr>
                                  </pic:pic>
                                </a:graphicData>
                              </a:graphic>
                            </wp:inline>
                          </w:drawing>
                        </w:r>
                      </w:p>
                    </w:tc>
                    <w:tc>
                      <w:tcPr>
                        <w:tcW w:w="284" w:type="dxa"/>
                        <w:tcBorders>
                          <w:left w:val="nil"/>
                        </w:tcBorders>
                      </w:tcPr>
                      <w:p w:rsidR="0001553F" w:rsidRDefault="0001553F" w:rsidP="00C51F7C"/>
                    </w:tc>
                    <w:tc>
                      <w:tcPr>
                        <w:tcW w:w="284" w:type="dxa"/>
                        <w:tcBorders>
                          <w:left w:val="nil"/>
                        </w:tcBorders>
                      </w:tcPr>
                      <w:p w:rsidR="0001553F" w:rsidRDefault="0001553F" w:rsidP="00C51F7C"/>
                    </w:tc>
                    <w:tc>
                      <w:tcPr>
                        <w:tcW w:w="6861" w:type="dxa"/>
                        <w:vAlign w:val="bottom"/>
                      </w:tcPr>
                      <w:p w:rsidR="0001553F" w:rsidRDefault="0001553F" w:rsidP="00C51F7C">
                        <w:pPr>
                          <w:jc w:val="right"/>
                          <w:rPr>
                            <w:color w:val="FF9900"/>
                          </w:rPr>
                        </w:pPr>
                        <w:r>
                          <w:rPr>
                            <w:noProof/>
                            <w:color w:val="FF9900"/>
                            <w:lang w:val="en-US" w:eastAsia="ja-JP"/>
                          </w:rPr>
                          <w:drawing>
                            <wp:inline distT="0" distB="0" distL="0" distR="0">
                              <wp:extent cx="3293745" cy="768985"/>
                              <wp:effectExtent l="19050" t="0" r="1905" b="0"/>
                              <wp:docPr id="4" name="Picture 4" descr="CEPFiles_logo_MS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PFiles_logo_MSDynamics"/>
                                      <pic:cNvPicPr>
                                        <a:picLocks noChangeAspect="1" noChangeArrowheads="1"/>
                                      </pic:cNvPicPr>
                                    </pic:nvPicPr>
                                    <pic:blipFill>
                                      <a:blip r:embed="rId20"/>
                                      <a:srcRect t="15152" b="2892"/>
                                      <a:stretch>
                                        <a:fillRect/>
                                      </a:stretch>
                                    </pic:blipFill>
                                    <pic:spPr bwMode="auto">
                                      <a:xfrm>
                                        <a:off x="0" y="0"/>
                                        <a:ext cx="3293745" cy="768985"/>
                                      </a:xfrm>
                                      <a:prstGeom prst="rect">
                                        <a:avLst/>
                                      </a:prstGeom>
                                      <a:noFill/>
                                      <a:ln w="9525">
                                        <a:noFill/>
                                        <a:miter lim="800000"/>
                                        <a:headEnd/>
                                        <a:tailEnd/>
                                      </a:ln>
                                    </pic:spPr>
                                  </pic:pic>
                                </a:graphicData>
                              </a:graphic>
                            </wp:inline>
                          </w:drawing>
                        </w:r>
                      </w:p>
                    </w:tc>
                  </w:tr>
                </w:tbl>
                <w:p w:rsidR="0001553F" w:rsidRDefault="0001553F" w:rsidP="00572F16"/>
              </w:txbxContent>
            </v:textbox>
            <w10:wrap type="topAndBottom" anchorx="page" anchory="page"/>
            <w10:anchorlock/>
          </v:shape>
        </w:pict>
      </w:r>
      <w:r w:rsidR="00A94CBC" w:rsidRPr="00244AA3">
        <w:br w:type="column"/>
      </w:r>
      <w:r w:rsidR="00DD69AC" w:rsidRPr="00244AA3">
        <w:lastRenderedPageBreak/>
        <w:t>Business</w:t>
      </w:r>
      <w:r w:rsidR="00591D27" w:rsidRPr="00244AA3">
        <w:t xml:space="preserve"> Needs</w:t>
      </w:r>
    </w:p>
    <w:p w:rsidR="00F319F9" w:rsidRPr="00244AA3" w:rsidRDefault="00F319F9" w:rsidP="00F319F9">
      <w:pPr>
        <w:pStyle w:val="Bodycopy"/>
      </w:pPr>
      <w:r w:rsidRPr="00244AA3">
        <w:t xml:space="preserve">CareFlite is a nonprofit organization that provides air and ground ambulance, organ transplant, and 911 emergency services to residents and local government entities in North Texas. Founded in 1979, CareFlite continues to grow the scope of its medical transport services. For example, in 2003, the organization contracted with Johnson County to provide 911 emergency medical services, including the operation of a 911 call and dispatch center. </w:t>
      </w:r>
    </w:p>
    <w:p w:rsidR="00F319F9" w:rsidRPr="00244AA3" w:rsidRDefault="00F319F9" w:rsidP="00F319F9">
      <w:pPr>
        <w:pStyle w:val="Bodycopy"/>
      </w:pPr>
    </w:p>
    <w:p w:rsidR="00F319F9" w:rsidRPr="00244AA3" w:rsidRDefault="00F319F9" w:rsidP="00F319F9">
      <w:pPr>
        <w:pStyle w:val="Bodycopy"/>
      </w:pPr>
      <w:r w:rsidRPr="00244AA3">
        <w:t>As part of this growth, the organization recently increased the number of employees on its payroll by one-third within five months. CareFlite now employs roughly 450 employees, including four account</w:t>
      </w:r>
      <w:r w:rsidR="000140CE" w:rsidRPr="00244AA3">
        <w:t>ing users</w:t>
      </w:r>
      <w:r w:rsidRPr="00244AA3">
        <w:t xml:space="preserve"> and two people in the group’s purchasing department. To keep up with the organization’s activity, these employees need to use software tools that help them access and work with information specific to their roles, reduce manual work, and avoid costly errors. </w:t>
      </w:r>
    </w:p>
    <w:p w:rsidR="00F319F9" w:rsidRPr="00244AA3" w:rsidRDefault="00F319F9" w:rsidP="00F319F9">
      <w:pPr>
        <w:pStyle w:val="Bodycopy"/>
      </w:pPr>
    </w:p>
    <w:p w:rsidR="00F319F9" w:rsidRPr="00244AA3" w:rsidRDefault="00F319F9" w:rsidP="00F319F9">
      <w:pPr>
        <w:pStyle w:val="Bodycopy"/>
      </w:pPr>
      <w:r w:rsidRPr="00244AA3">
        <w:t>CareFlite used Microsoft Dynamics GP 9.0 to manage its finances, and hosted the solution with Microsoft Gold Certified Partner NextCorp. Anne Beck, Controller at CareFlite, explains the benefits of hosting for CareFlite</w:t>
      </w:r>
      <w:r w:rsidR="004168ED" w:rsidRPr="00244AA3">
        <w:t>:</w:t>
      </w:r>
      <w:r w:rsidRPr="00244AA3">
        <w:t xml:space="preserve"> “Our IT department has four </w:t>
      </w:r>
      <w:r w:rsidRPr="00244AA3">
        <w:lastRenderedPageBreak/>
        <w:t>employees and they have enough to</w:t>
      </w:r>
      <w:r w:rsidR="00095F60" w:rsidRPr="00244AA3">
        <w:t xml:space="preserve"> do</w:t>
      </w:r>
      <w:r w:rsidRPr="00244AA3">
        <w:t xml:space="preserve"> without having to maintain our financial management system. Hosting our solution with NextCorp alleviates that burden from our IT team while providing us with expert support when we need it.”</w:t>
      </w:r>
    </w:p>
    <w:p w:rsidR="00F319F9" w:rsidRPr="00244AA3" w:rsidRDefault="00F319F9" w:rsidP="00F319F9">
      <w:pPr>
        <w:pStyle w:val="Bodycopy"/>
      </w:pPr>
    </w:p>
    <w:p w:rsidR="00F319F9" w:rsidRPr="00244AA3" w:rsidRDefault="00F319F9" w:rsidP="00F319F9">
      <w:pPr>
        <w:pStyle w:val="Bodycopy"/>
      </w:pPr>
      <w:r w:rsidRPr="00244AA3">
        <w:t xml:space="preserve">Improving employee productivity was top-of-mind for Beck and the group’s CFO as they attended a customer workshop that </w:t>
      </w:r>
      <w:r w:rsidR="004168ED" w:rsidRPr="00244AA3">
        <w:t>NextCorp conducted</w:t>
      </w:r>
      <w:r w:rsidRPr="00244AA3">
        <w:t xml:space="preserve">. “When we heard about the offer to upgrade Microsoft Dynamics GP, we saw it as an opportunity to make sure we were equipping our employees with the latest technology,” says Beck. “We liked the look of Microsoft Dynamics GP 2010 and thought that people would find it easier to use.” </w:t>
      </w:r>
    </w:p>
    <w:p w:rsidR="00F319F9" w:rsidRPr="00244AA3" w:rsidRDefault="00F319F9" w:rsidP="00F319F9">
      <w:pPr>
        <w:pStyle w:val="Bodycopy"/>
      </w:pPr>
    </w:p>
    <w:p w:rsidR="00331EAD" w:rsidRPr="00244AA3" w:rsidRDefault="00F319F9" w:rsidP="005024D1">
      <w:pPr>
        <w:pStyle w:val="Bodycopy"/>
      </w:pPr>
      <w:r w:rsidRPr="00244AA3">
        <w:t xml:space="preserve">Because CareFlite subscribed to the Business Ready Enhancement Plan for Microsoft Dynamics, the organization had the option to upgrade to Microsoft Dynamics GP 2010 at no extra cost. Nevertheless, with year-end audits approaching, Beck and her boss wanted to keep the upgrade fast and unobtrusive and ensure that employees became proficient quickly </w:t>
      </w:r>
      <w:r w:rsidR="004168ED" w:rsidRPr="00244AA3">
        <w:t xml:space="preserve">with </w:t>
      </w:r>
      <w:r w:rsidRPr="00244AA3">
        <w:t xml:space="preserve">the new </w:t>
      </w:r>
      <w:r w:rsidR="004168ED" w:rsidRPr="00244AA3">
        <w:t>solution</w:t>
      </w:r>
      <w:r w:rsidRPr="00244AA3">
        <w:t>.</w:t>
      </w:r>
    </w:p>
    <w:p w:rsidR="001F57ED" w:rsidRPr="00244AA3" w:rsidRDefault="001F57ED" w:rsidP="005024D1">
      <w:pPr>
        <w:pStyle w:val="Bodycopy"/>
      </w:pPr>
    </w:p>
    <w:p w:rsidR="001F57ED" w:rsidRPr="00244AA3" w:rsidRDefault="001F57ED">
      <w:pPr>
        <w:rPr>
          <w:color w:val="209FC8"/>
          <w:sz w:val="24"/>
          <w:lang w:val="en-US"/>
        </w:rPr>
      </w:pPr>
      <w:r w:rsidRPr="00244AA3">
        <w:rPr>
          <w:lang w:val="en-US"/>
        </w:rPr>
        <w:br w:type="page"/>
      </w:r>
    </w:p>
    <w:p w:rsidR="001F57ED" w:rsidRPr="00244AA3" w:rsidRDefault="001F57ED" w:rsidP="001F57ED">
      <w:pPr>
        <w:pStyle w:val="SectionHeading"/>
      </w:pPr>
      <w:r w:rsidRPr="00244AA3">
        <w:lastRenderedPageBreak/>
        <w:t>Solution</w:t>
      </w:r>
    </w:p>
    <w:p w:rsidR="00F319F9" w:rsidRPr="00244AA3" w:rsidRDefault="00F319F9" w:rsidP="00F319F9">
      <w:pPr>
        <w:pStyle w:val="Bodycopy"/>
      </w:pPr>
      <w:r w:rsidRPr="00244AA3">
        <w:t xml:space="preserve">After receiving more detail from Microsoft and NextCorp about how the process would work, CareFlite decided to move ahead with the upgrade to Microsoft Dynamics GP 2010. NextCorp managed the upgrade as part of CareFlite’s subscription services, so the organization did not incur any costs in addition to what it normally pays every month. </w:t>
      </w:r>
    </w:p>
    <w:p w:rsidR="00F319F9" w:rsidRPr="00244AA3" w:rsidRDefault="001F57ED" w:rsidP="00F319F9">
      <w:pPr>
        <w:pStyle w:val="Bodycopy"/>
      </w:pPr>
      <w:r w:rsidRPr="00244AA3">
        <w:rPr>
          <w:noProof/>
          <w:lang w:eastAsia="ja-JP"/>
        </w:rPr>
        <w:drawing>
          <wp:anchor distT="0" distB="0" distL="114300" distR="114300" simplePos="0" relativeHeight="251661824" behindDoc="0" locked="0" layoutInCell="1" allowOverlap="1">
            <wp:simplePos x="0" y="0"/>
            <wp:positionH relativeFrom="page">
              <wp:posOffset>2905125</wp:posOffset>
            </wp:positionH>
            <wp:positionV relativeFrom="page">
              <wp:posOffset>1819275</wp:posOffset>
            </wp:positionV>
            <wp:extent cx="4317365" cy="1590675"/>
            <wp:effectExtent l="19050" t="0" r="6985" b="0"/>
            <wp:wrapSquare wrapText="bothSides"/>
            <wp:docPr id="7" name="Picture 1" descr="http://www.careflite.org/cfimg/special/A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eflite.org/cfimg/special/A109.jpg"/>
                    <pic:cNvPicPr>
                      <a:picLocks noChangeAspect="1" noChangeArrowheads="1"/>
                    </pic:cNvPicPr>
                  </pic:nvPicPr>
                  <pic:blipFill>
                    <a:blip r:embed="rId21" cstate="print"/>
                    <a:srcRect t="20132" b="24752"/>
                    <a:stretch>
                      <a:fillRect/>
                    </a:stretch>
                  </pic:blipFill>
                  <pic:spPr bwMode="auto">
                    <a:xfrm>
                      <a:off x="0" y="0"/>
                      <a:ext cx="4317365" cy="1590675"/>
                    </a:xfrm>
                    <a:prstGeom prst="rect">
                      <a:avLst/>
                    </a:prstGeom>
                    <a:noFill/>
                    <a:ln w="9525">
                      <a:noFill/>
                      <a:miter lim="800000"/>
                      <a:headEnd/>
                      <a:tailEnd/>
                    </a:ln>
                  </pic:spPr>
                </pic:pic>
              </a:graphicData>
            </a:graphic>
          </wp:anchor>
        </w:drawing>
      </w:r>
    </w:p>
    <w:p w:rsidR="00F319F9" w:rsidRPr="00244AA3" w:rsidRDefault="00F319F9" w:rsidP="00F319F9">
      <w:pPr>
        <w:pStyle w:val="Bodycopy"/>
      </w:pPr>
      <w:r w:rsidRPr="00244AA3">
        <w:t xml:space="preserve">NextCorp support engineers first copied CareFlite’s database in Microsoft Dynamics GP to the new version to ensure that all the data transferred correctly. Next, NextCorp set up a parallel test environment complete with all the components that CareFlite uses and then asked CareFlite to perform a series of routine tasks to make sure that everything worked. </w:t>
      </w:r>
    </w:p>
    <w:p w:rsidR="00F319F9" w:rsidRPr="00244AA3" w:rsidRDefault="00F319F9" w:rsidP="00F319F9">
      <w:pPr>
        <w:pStyle w:val="Bodycopy"/>
      </w:pPr>
    </w:p>
    <w:p w:rsidR="00F319F9" w:rsidRPr="00244AA3" w:rsidRDefault="00F319F9" w:rsidP="00F319F9">
      <w:pPr>
        <w:pStyle w:val="Bodycopy"/>
      </w:pPr>
      <w:r w:rsidRPr="00244AA3">
        <w:t xml:space="preserve">“NextCorp asked us to go through a checklist of functions,” says Beck. “We did that, and I met with each person who would be using the new solution to explain how it would be different from what they were used to. We used the test environment to practice and familiarize ourselves with the new interface. When it came time to upgrade, NextCorp flipped the switch over the weekend and the new solution was up and running when we came in on Monday.” </w:t>
      </w:r>
    </w:p>
    <w:p w:rsidR="00F319F9" w:rsidRPr="00244AA3" w:rsidRDefault="00F319F9" w:rsidP="00F319F9">
      <w:pPr>
        <w:pStyle w:val="Bodycopy"/>
      </w:pPr>
    </w:p>
    <w:p w:rsidR="002C3F83" w:rsidRPr="00244AA3" w:rsidRDefault="00F319F9" w:rsidP="00F319F9">
      <w:pPr>
        <w:pStyle w:val="Bodycopy"/>
      </w:pPr>
      <w:r w:rsidRPr="00244AA3">
        <w:t>CareFlite took advantage of the upgrade process to start using more functionality in Microsoft Dynamics GP than they had used previously. “Because the idea behind the upgrade was to increase productivity, we wanted to start using modules that we weren’t making much use of before,” says Beck. “We also took extra time to learn about new capabilities that would speed our processes, such as uploading data from our payroll system instead of entering it manually.</w:t>
      </w:r>
      <w:r w:rsidR="00095F60" w:rsidRPr="00244AA3">
        <w:t xml:space="preserve"> This saves us </w:t>
      </w:r>
      <w:r w:rsidR="001F57ED" w:rsidRPr="00244AA3">
        <w:t>approximately four</w:t>
      </w:r>
      <w:r w:rsidR="00095F60" w:rsidRPr="00244AA3">
        <w:t xml:space="preserve"> hours every payroll cycle.</w:t>
      </w:r>
      <w:r w:rsidR="001F57ED" w:rsidRPr="00244AA3">
        <w:t>”</w:t>
      </w:r>
    </w:p>
    <w:p w:rsidR="00DD69AC" w:rsidRPr="00244AA3" w:rsidRDefault="00296F94" w:rsidP="00DD69AC">
      <w:pPr>
        <w:pStyle w:val="SectionHeading"/>
      </w:pPr>
      <w:r>
        <w:rPr>
          <w:lang w:eastAsia="ja-JP"/>
        </w:rPr>
        <w:pict>
          <v:shape id="2_Caption" o:spid="_x0000_s1167" type="#_x0000_t202" style="position:absolute;margin-left:232.9pt;margin-top:132pt;width:331.2pt;height:20.85pt;z-index:251658752;mso-wrap-distance-bottom:10.8pt;mso-position-horizontal-relative:page" fillcolor="#209fc8" stroked="f">
            <v:textbox style="mso-next-textbox:#2_Caption" inset="5mm,2.88pt,5mm,2.88pt">
              <w:txbxContent>
                <w:p w:rsidR="0001553F" w:rsidRPr="00331EAD" w:rsidRDefault="0001553F" w:rsidP="00244AA3">
                  <w:pPr>
                    <w:jc w:val="center"/>
                  </w:pPr>
                  <w:r w:rsidRPr="00331EAD">
                    <w:rPr>
                      <w:color w:val="FFFFFF"/>
                      <w:sz w:val="19"/>
                      <w:lang w:val="en-US"/>
                    </w:rPr>
                    <w:t xml:space="preserve">CareFlite </w:t>
                  </w:r>
                  <w:r>
                    <w:rPr>
                      <w:color w:val="FFFFFF"/>
                      <w:sz w:val="19"/>
                      <w:lang w:val="en-US"/>
                    </w:rPr>
                    <w:t>operates a fleet of air and ground ambulances</w:t>
                  </w:r>
                  <w:r w:rsidRPr="00331EAD">
                    <w:rPr>
                      <w:color w:val="FFFFFF"/>
                      <w:sz w:val="19"/>
                      <w:lang w:val="en-US"/>
                    </w:rPr>
                    <w:t>.</w:t>
                  </w:r>
                </w:p>
              </w:txbxContent>
            </v:textbox>
            <w10:wrap type="square" anchorx="page"/>
          </v:shape>
        </w:pict>
      </w:r>
      <w:r w:rsidR="00DD69AC" w:rsidRPr="00244AA3">
        <w:t>Benefits</w:t>
      </w:r>
    </w:p>
    <w:p w:rsidR="00F319F9" w:rsidRPr="00244AA3" w:rsidRDefault="00F319F9" w:rsidP="00F319F9">
      <w:pPr>
        <w:pStyle w:val="Bodycopy"/>
      </w:pPr>
      <w:r w:rsidRPr="00244AA3">
        <w:t>With hosted services and the Business Ready Enhancement Plan, CareFlite simplified the process of upgrading to Microsoft Dynamics GP 2010. At the same time, CareFlite equipped its accounting and purchasing staff to more efficiently handle the organization’s increased activity.</w:t>
      </w:r>
      <w:r w:rsidR="001F57ED" w:rsidRPr="00244AA3">
        <w:t xml:space="preserve"> </w:t>
      </w:r>
    </w:p>
    <w:p w:rsidR="001F57ED" w:rsidRPr="00244AA3" w:rsidRDefault="001F57ED" w:rsidP="001F57ED">
      <w:pPr>
        <w:pStyle w:val="Bodycopy"/>
      </w:pPr>
    </w:p>
    <w:p w:rsidR="001F57ED" w:rsidRPr="00244AA3" w:rsidRDefault="001F57ED" w:rsidP="001F57ED">
      <w:pPr>
        <w:pStyle w:val="Bodycopy"/>
      </w:pPr>
      <w:r w:rsidRPr="00244AA3">
        <w:t>“It was a relief to know we could upgrade without burdening our busy IT department,” says Russ Kyler, CFO at CareFlite</w:t>
      </w:r>
      <w:r w:rsidR="00244AA3">
        <w:t>.</w:t>
      </w:r>
      <w:r w:rsidRPr="00244AA3">
        <w:t xml:space="preserve"> “In addition, the licensing and services costs were included in our existing agreements.”</w:t>
      </w:r>
    </w:p>
    <w:p w:rsidR="00F319F9" w:rsidRPr="00244AA3" w:rsidRDefault="00F319F9" w:rsidP="00F319F9">
      <w:pPr>
        <w:pStyle w:val="Bodycopy"/>
      </w:pPr>
    </w:p>
    <w:p w:rsidR="00F319F9" w:rsidRPr="00244AA3" w:rsidRDefault="00F319F9" w:rsidP="00F319F9">
      <w:pPr>
        <w:pStyle w:val="Bodycopyheading"/>
      </w:pPr>
      <w:r w:rsidRPr="00244AA3">
        <w:t>Safe, Reliable Solution</w:t>
      </w:r>
    </w:p>
    <w:p w:rsidR="001F57ED" w:rsidRPr="00244AA3" w:rsidRDefault="00F319F9" w:rsidP="00F319F9">
      <w:pPr>
        <w:pStyle w:val="Bodycopy"/>
      </w:pPr>
      <w:r w:rsidRPr="00244AA3">
        <w:t xml:space="preserve">CareFlite’s hosted services partner, NextCorp, provided the technical expertise, infrastructure, and labor needed to ensure a smooth upgrade to Microsoft Dynamics GP 2010. “Our partner did a terrific job in making the upgrade as much of a nonissue for us as possible,” says Beck. “The process was quick, safe, and simple, and now we are benefiting from a great, up-to-date solution.” </w:t>
      </w:r>
      <w:r w:rsidR="00A07D44" w:rsidRPr="00244AA3">
        <w:t xml:space="preserve"> </w:t>
      </w:r>
    </w:p>
    <w:p w:rsidR="00F319F9" w:rsidRPr="00244AA3" w:rsidRDefault="00F319F9" w:rsidP="00F319F9">
      <w:pPr>
        <w:pStyle w:val="Bodycopy"/>
      </w:pPr>
    </w:p>
    <w:p w:rsidR="00F319F9" w:rsidRPr="00244AA3" w:rsidRDefault="00F319F9" w:rsidP="00F319F9">
      <w:pPr>
        <w:pStyle w:val="Bodycopyheading"/>
      </w:pPr>
      <w:r w:rsidRPr="00244AA3">
        <w:t>Productivity Boost</w:t>
      </w:r>
    </w:p>
    <w:p w:rsidR="00F319F9" w:rsidRPr="00244AA3" w:rsidRDefault="00F319F9" w:rsidP="00F319F9">
      <w:pPr>
        <w:pStyle w:val="Bodycopy"/>
      </w:pPr>
      <w:r w:rsidRPr="00244AA3">
        <w:t>Accounting and purchasing staff members at CareFlite do their jobs more efficiently with the new navigation and timesaving capabilities in Microsoft Dynamics GP 2010. In addition, employees use features like autocomplete</w:t>
      </w:r>
      <w:r w:rsidR="009C4115" w:rsidRPr="00244AA3">
        <w:t>,</w:t>
      </w:r>
      <w:r w:rsidRPr="00244AA3">
        <w:t xml:space="preserve"> improved search</w:t>
      </w:r>
      <w:r w:rsidR="009C4115" w:rsidRPr="00244AA3">
        <w:t>,</w:t>
      </w:r>
      <w:r w:rsidRPr="00244AA3">
        <w:t xml:space="preserve"> and drilldown capabilities to find information more easily. </w:t>
      </w:r>
    </w:p>
    <w:p w:rsidR="00F319F9" w:rsidRPr="00244AA3" w:rsidRDefault="00F319F9" w:rsidP="00F319F9">
      <w:pPr>
        <w:pStyle w:val="Bodycopy"/>
      </w:pPr>
    </w:p>
    <w:p w:rsidR="00F319F9" w:rsidRPr="00244AA3" w:rsidRDefault="00F319F9" w:rsidP="00F319F9">
      <w:pPr>
        <w:pStyle w:val="Bodycopy"/>
      </w:pPr>
      <w:r w:rsidRPr="00244AA3">
        <w:t>“One feature that I really appreciate is the ability to quickly drill down into data,” says Beck. “Now, I can view detailed information at the transaction-level, if needed, without having to switch screens. Another thing I like about the newer version is the improved search. When I search for a vendor, for example, the solution will return relevant results even if I typed a keyword instead of the company’s exact name. Simple things like this help make our jobs easier.”</w:t>
      </w:r>
    </w:p>
    <w:p w:rsidR="00F319F9" w:rsidRPr="00244AA3" w:rsidRDefault="00F319F9" w:rsidP="00F319F9">
      <w:pPr>
        <w:pStyle w:val="Bodycopy"/>
      </w:pPr>
    </w:p>
    <w:p w:rsidR="00F319F9" w:rsidRPr="00244AA3" w:rsidRDefault="00F319F9" w:rsidP="00F319F9">
      <w:pPr>
        <w:pStyle w:val="Bodycopyheading"/>
      </w:pPr>
      <w:r w:rsidRPr="00244AA3">
        <w:t>Easy to Learn and Use</w:t>
      </w:r>
    </w:p>
    <w:p w:rsidR="00781614" w:rsidRPr="00244AA3" w:rsidRDefault="00F319F9" w:rsidP="00F319F9">
      <w:pPr>
        <w:pStyle w:val="Bodycopy"/>
      </w:pPr>
      <w:r w:rsidRPr="00244AA3">
        <w:t>Despite concerns about how quickly employees would become proficient with the new solution, CareFlite staff members learned how to use Microsoft Dynamics GP 2010 quickly because it takes advantage of the familiar look and feel of the Microsoft Office system. “The new interface actually makes it easier for people to find the functions they are looking for,” says Beck. “The time it took for people to become proficient was very short, exceeding our expectations.”</w:t>
      </w:r>
    </w:p>
    <w:sectPr w:rsidR="00781614" w:rsidRPr="00244AA3" w:rsidSect="00D2525C">
      <w:type w:val="continuous"/>
      <w:pgSz w:w="12242" w:h="15842" w:code="1"/>
      <w:pgMar w:top="2880" w:right="851" w:bottom="1321" w:left="851" w:header="0" w:footer="40" w:gutter="0"/>
      <w:cols w:num="3" w:space="284" w:equalWidth="0">
        <w:col w:w="3324" w:space="375"/>
        <w:col w:w="3233" w:space="378"/>
        <w:col w:w="323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78C" w:rsidRDefault="00AA578C">
      <w:r>
        <w:separator/>
      </w:r>
    </w:p>
  </w:endnote>
  <w:endnote w:type="continuationSeparator" w:id="0">
    <w:p w:rsidR="00AA578C" w:rsidRDefault="00AA5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E8" w:rsidRDefault="003965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41" w:type="dxa"/>
      <w:tblLayout w:type="fixed"/>
      <w:tblCellMar>
        <w:left w:w="0" w:type="dxa"/>
        <w:right w:w="0" w:type="dxa"/>
      </w:tblCellMar>
      <w:tblLook w:val="0000"/>
    </w:tblPr>
    <w:tblGrid>
      <w:gridCol w:w="6946"/>
      <w:gridCol w:w="3595"/>
    </w:tblGrid>
    <w:tr w:rsidR="0001553F">
      <w:trPr>
        <w:cantSplit/>
        <w:trHeight w:hRule="exact" w:val="120"/>
      </w:trPr>
      <w:tc>
        <w:tcPr>
          <w:tcW w:w="6946" w:type="dxa"/>
          <w:vAlign w:val="bottom"/>
        </w:tcPr>
        <w:p w:rsidR="0001553F" w:rsidRDefault="0001553F" w:rsidP="002F4A63">
          <w:pPr>
            <w:rPr>
              <w:color w:val="FF9900"/>
            </w:rPr>
          </w:pPr>
        </w:p>
      </w:tc>
      <w:tc>
        <w:tcPr>
          <w:tcW w:w="3595" w:type="dxa"/>
          <w:vMerge w:val="restart"/>
          <w:vAlign w:val="bottom"/>
        </w:tcPr>
        <w:p w:rsidR="0001553F" w:rsidRDefault="0001553F" w:rsidP="002F4A63">
          <w:pPr>
            <w:jc w:val="right"/>
          </w:pPr>
          <w:r>
            <w:rPr>
              <w:noProof/>
              <w:spacing w:val="20"/>
              <w:sz w:val="16"/>
              <w:lang w:val="en-US" w:eastAsia="ja-JP"/>
            </w:rPr>
            <w:drawing>
              <wp:inline distT="0" distB="0" distL="0" distR="0">
                <wp:extent cx="1974215" cy="904240"/>
                <wp:effectExtent l="19050" t="0" r="6985" b="0"/>
                <wp:docPr id="2" name="Picture 2"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pic:cNvPicPr>
                          <a:picLocks noChangeAspect="1" noChangeArrowheads="1"/>
                        </pic:cNvPicPr>
                      </pic:nvPicPr>
                      <pic:blipFill>
                        <a:blip r:embed="rId1"/>
                        <a:srcRect/>
                        <a:stretch>
                          <a:fillRect/>
                        </a:stretch>
                      </pic:blipFill>
                      <pic:spPr bwMode="auto">
                        <a:xfrm>
                          <a:off x="0" y="0"/>
                          <a:ext cx="1974215" cy="904240"/>
                        </a:xfrm>
                        <a:prstGeom prst="rect">
                          <a:avLst/>
                        </a:prstGeom>
                        <a:noFill/>
                        <a:ln w="9525">
                          <a:noFill/>
                          <a:miter lim="800000"/>
                          <a:headEnd/>
                          <a:tailEnd/>
                        </a:ln>
                      </pic:spPr>
                    </pic:pic>
                  </a:graphicData>
                </a:graphic>
              </wp:inline>
            </w:drawing>
          </w:r>
        </w:p>
      </w:tc>
    </w:tr>
    <w:tr w:rsidR="0001553F">
      <w:trPr>
        <w:cantSplit/>
        <w:trHeight w:hRule="exact" w:val="120"/>
      </w:trPr>
      <w:tc>
        <w:tcPr>
          <w:tcW w:w="6946" w:type="dxa"/>
          <w:vAlign w:val="bottom"/>
        </w:tcPr>
        <w:p w:rsidR="0001553F" w:rsidRDefault="0001553F" w:rsidP="002F4A63">
          <w:pPr>
            <w:rPr>
              <w:color w:val="FF9900"/>
            </w:rPr>
          </w:pPr>
        </w:p>
      </w:tc>
      <w:tc>
        <w:tcPr>
          <w:tcW w:w="3595" w:type="dxa"/>
          <w:vMerge/>
          <w:vAlign w:val="bottom"/>
        </w:tcPr>
        <w:p w:rsidR="0001553F" w:rsidRDefault="0001553F" w:rsidP="002F4A63">
          <w:pPr>
            <w:pStyle w:val="Disclaimer"/>
            <w:rPr>
              <w:color w:val="FF9900"/>
            </w:rPr>
          </w:pPr>
        </w:p>
      </w:tc>
    </w:tr>
    <w:tr w:rsidR="0001553F">
      <w:trPr>
        <w:cantSplit/>
        <w:trHeight w:hRule="exact" w:val="1186"/>
      </w:trPr>
      <w:tc>
        <w:tcPr>
          <w:tcW w:w="6946" w:type="dxa"/>
          <w:vAlign w:val="bottom"/>
        </w:tcPr>
        <w:p w:rsidR="0001553F" w:rsidRDefault="0001553F" w:rsidP="002F4A63">
          <w:pPr>
            <w:pStyle w:val="Disclaimer"/>
          </w:pPr>
          <w:r>
            <w:t>This case study is for informational purposes only. MICROSOFT MAKES NO WARRANTIES, EXPRESS OR IMPLIED, IN THIS SUMMARY.</w:t>
          </w:r>
        </w:p>
        <w:p w:rsidR="0001553F" w:rsidRDefault="0001553F" w:rsidP="002F4A63">
          <w:pPr>
            <w:pStyle w:val="Disclaimer"/>
          </w:pPr>
        </w:p>
        <w:p w:rsidR="0001553F" w:rsidRPr="008A704E" w:rsidRDefault="0001553F" w:rsidP="00244AA3">
          <w:pPr>
            <w:pStyle w:val="Disclaimer"/>
          </w:pPr>
          <w:r w:rsidRPr="00A10B69">
            <w:t xml:space="preserve">Document published </w:t>
          </w:r>
          <w:r w:rsidR="00244AA3">
            <w:t xml:space="preserve">April </w:t>
          </w:r>
          <w:r>
            <w:t>2010</w:t>
          </w:r>
        </w:p>
      </w:tc>
      <w:tc>
        <w:tcPr>
          <w:tcW w:w="3595" w:type="dxa"/>
          <w:vMerge/>
          <w:vAlign w:val="bottom"/>
        </w:tcPr>
        <w:p w:rsidR="0001553F" w:rsidRPr="008A704E" w:rsidRDefault="0001553F" w:rsidP="002F4A63">
          <w:pPr>
            <w:pStyle w:val="Disclaimer"/>
            <w:spacing w:line="240" w:lineRule="auto"/>
          </w:pPr>
        </w:p>
      </w:tc>
    </w:tr>
  </w:tbl>
  <w:p w:rsidR="0001553F" w:rsidRDefault="0001553F" w:rsidP="00314641">
    <w:pPr>
      <w:pStyle w:val="Footer"/>
      <w:spacing w:line="24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E8" w:rsidRDefault="003965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78C" w:rsidRDefault="00AA578C">
      <w:r>
        <w:separator/>
      </w:r>
    </w:p>
  </w:footnote>
  <w:footnote w:type="continuationSeparator" w:id="0">
    <w:p w:rsidR="00AA578C" w:rsidRDefault="00AA5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E8" w:rsidRDefault="003965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3F" w:rsidRDefault="0001553F">
    <w:pPr>
      <w:pStyle w:val="Header"/>
    </w:pPr>
    <w:r>
      <w:rPr>
        <w:noProof/>
        <w:lang w:val="en-US" w:eastAsia="ja-JP" w:bidi="ar-SA"/>
      </w:rPr>
      <w:drawing>
        <wp:anchor distT="0" distB="0" distL="114300" distR="114300" simplePos="0" relativeHeight="251657728" behindDoc="1" locked="0" layoutInCell="0" allowOverlap="1">
          <wp:simplePos x="0" y="0"/>
          <wp:positionH relativeFrom="page">
            <wp:posOffset>0</wp:posOffset>
          </wp:positionH>
          <wp:positionV relativeFrom="page">
            <wp:posOffset>0</wp:posOffset>
          </wp:positionV>
          <wp:extent cx="7772400" cy="918210"/>
          <wp:effectExtent l="19050" t="0" r="0" b="0"/>
          <wp:wrapNone/>
          <wp:docPr id="82" name="Picture 82" descr="Dynamics Sub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ynamics SubHead"/>
                  <pic:cNvPicPr>
                    <a:picLocks noChangeAspect="1" noChangeArrowheads="1"/>
                  </pic:cNvPicPr>
                </pic:nvPicPr>
                <pic:blipFill>
                  <a:blip r:embed="rId1"/>
                  <a:srcRect/>
                  <a:stretch>
                    <a:fillRect/>
                  </a:stretch>
                </pic:blipFill>
                <pic:spPr bwMode="auto">
                  <a:xfrm>
                    <a:off x="0" y="0"/>
                    <a:ext cx="7772400" cy="91821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E8" w:rsidRDefault="003965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AFC2804"/>
    <w:multiLevelType w:val="hybridMultilevel"/>
    <w:tmpl w:val="D304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A144C"/>
    <w:multiLevelType w:val="hybridMultilevel"/>
    <w:tmpl w:val="4E4ABFC4"/>
    <w:lvl w:ilvl="0" w:tplc="4F8AE8DA">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C3435"/>
    <w:multiLevelType w:val="hybridMultilevel"/>
    <w:tmpl w:val="887C7674"/>
    <w:lvl w:ilvl="0" w:tplc="D11C9562">
      <w:start w:val="1"/>
      <w:numFmt w:val="bullet"/>
      <w:lvlRestart w:val="0"/>
      <w:pStyle w:val="Bullet"/>
      <w:lvlText w:val=""/>
      <w:lvlJc w:val="left"/>
      <w:pPr>
        <w:tabs>
          <w:tab w:val="num" w:pos="181"/>
        </w:tabs>
        <w:ind w:left="181" w:hanging="181"/>
      </w:pPr>
      <w:rPr>
        <w:rFonts w:ascii="Symbol" w:hAnsi="Symbol" w:hint="default"/>
        <w:color w:val="A0A0A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AC6885"/>
    <w:multiLevelType w:val="hybridMultilevel"/>
    <w:tmpl w:val="CED674A6"/>
    <w:lvl w:ilvl="0" w:tplc="D5828C70">
      <w:start w:val="1"/>
      <w:numFmt w:val="bullet"/>
      <w:pStyle w:val="BulletGrey"/>
      <w:lvlText w:val=""/>
      <w:lvlJc w:val="left"/>
      <w:pPr>
        <w:tabs>
          <w:tab w:val="num" w:pos="360"/>
        </w:tabs>
        <w:ind w:left="360" w:hanging="360"/>
      </w:pPr>
      <w:rPr>
        <w:rFonts w:ascii="Symbol" w:hAnsi="Symbol" w:hint="default"/>
        <w:color w:val="A0A0A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8B5198"/>
    <w:multiLevelType w:val="multilevel"/>
    <w:tmpl w:val="E7042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426791C"/>
    <w:multiLevelType w:val="hybridMultilevel"/>
    <w:tmpl w:val="D452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140D9"/>
    <w:multiLevelType w:val="hybridMultilevel"/>
    <w:tmpl w:val="BEB23ABE"/>
    <w:lvl w:ilvl="0" w:tplc="50ECCCBA">
      <w:start w:val="1"/>
      <w:numFmt w:val="bullet"/>
      <w:lvlRestart w:val="0"/>
      <w:lvlText w:val=""/>
      <w:lvlJc w:val="left"/>
      <w:pPr>
        <w:tabs>
          <w:tab w:val="num" w:pos="360"/>
        </w:tabs>
        <w:ind w:left="360" w:hanging="360"/>
      </w:pPr>
      <w:rPr>
        <w:rFonts w:ascii="Wingdings" w:hAnsi="Wingdings" w:hint="default"/>
        <w:color w:val="0099FF"/>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FE4487"/>
    <w:multiLevelType w:val="singleLevel"/>
    <w:tmpl w:val="86EEE6A8"/>
    <w:lvl w:ilvl="0">
      <w:start w:val="1"/>
      <w:numFmt w:val="decimal"/>
      <w:pStyle w:val="TOC2"/>
      <w:lvlText w:val="%1."/>
      <w:lvlJc w:val="left"/>
      <w:pPr>
        <w:tabs>
          <w:tab w:val="num" w:pos="360"/>
        </w:tabs>
        <w:ind w:left="360" w:hanging="360"/>
      </w:pPr>
    </w:lvl>
  </w:abstractNum>
  <w:abstractNum w:abstractNumId="9">
    <w:nsid w:val="496D11FC"/>
    <w:multiLevelType w:val="hybridMultilevel"/>
    <w:tmpl w:val="9F3EAFD2"/>
    <w:lvl w:ilvl="0" w:tplc="BA80662A">
      <w:start w:val="1"/>
      <w:numFmt w:val="bullet"/>
      <w:lvlRestart w:val="0"/>
      <w:pStyle w:val="Bulletbold"/>
      <w:lvlText w:val=""/>
      <w:lvlJc w:val="left"/>
      <w:pPr>
        <w:tabs>
          <w:tab w:val="num" w:pos="181"/>
        </w:tabs>
        <w:ind w:left="181" w:hanging="181"/>
      </w:pPr>
      <w:rPr>
        <w:rFonts w:ascii="Symbol" w:hAnsi="Symbol" w:hint="default"/>
        <w:color w:val="auto"/>
        <w:sz w:val="14"/>
        <w:szCs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11">
    <w:nsid w:val="4F147D09"/>
    <w:multiLevelType w:val="hybridMultilevel"/>
    <w:tmpl w:val="E51870BA"/>
    <w:lvl w:ilvl="0" w:tplc="DC6E2824">
      <w:start w:val="1"/>
      <w:numFmt w:val="bullet"/>
      <w:lvlRestart w:val="0"/>
      <w:lvlText w:val=""/>
      <w:lvlJc w:val="left"/>
      <w:pPr>
        <w:tabs>
          <w:tab w:val="num" w:pos="360"/>
        </w:tabs>
        <w:ind w:left="360" w:hanging="36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3">
    <w:nsid w:val="6771204E"/>
    <w:multiLevelType w:val="hybridMultilevel"/>
    <w:tmpl w:val="04A0B36C"/>
    <w:lvl w:ilvl="0" w:tplc="7BF85D04">
      <w:start w:val="1"/>
      <w:numFmt w:val="bullet"/>
      <w:lvlRestart w:val="0"/>
      <w:pStyle w:val="Bulletcolored"/>
      <w:lvlText w:val=""/>
      <w:lvlJc w:val="left"/>
      <w:pPr>
        <w:tabs>
          <w:tab w:val="num" w:pos="181"/>
        </w:tabs>
        <w:ind w:left="181" w:hanging="181"/>
      </w:pPr>
      <w:rPr>
        <w:rFonts w:ascii="Symbol" w:hAnsi="Symbol" w:hint="default"/>
        <w:color w:val="A0A0A0"/>
        <w:sz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0"/>
  </w:num>
  <w:num w:numId="3">
    <w:abstractNumId w:val="12"/>
  </w:num>
  <w:num w:numId="4">
    <w:abstractNumId w:val="8"/>
  </w:num>
  <w:num w:numId="5">
    <w:abstractNumId w:val="2"/>
  </w:num>
  <w:num w:numId="6">
    <w:abstractNumId w:val="15"/>
  </w:num>
  <w:num w:numId="7">
    <w:abstractNumId w:val="3"/>
  </w:num>
  <w:num w:numId="8">
    <w:abstractNumId w:val="7"/>
  </w:num>
  <w:num w:numId="9">
    <w:abstractNumId w:val="4"/>
  </w:num>
  <w:num w:numId="10">
    <w:abstractNumId w:val="2"/>
  </w:num>
  <w:num w:numId="11">
    <w:abstractNumId w:val="11"/>
  </w:num>
  <w:num w:numId="12">
    <w:abstractNumId w:val="12"/>
  </w:num>
  <w:num w:numId="13">
    <w:abstractNumId w:val="11"/>
  </w:num>
  <w:num w:numId="14">
    <w:abstractNumId w:val="3"/>
  </w:num>
  <w:num w:numId="15">
    <w:abstractNumId w:val="7"/>
  </w:num>
  <w:num w:numId="16">
    <w:abstractNumId w:val="4"/>
  </w:num>
  <w:num w:numId="17">
    <w:abstractNumId w:val="2"/>
  </w:num>
  <w:num w:numId="18">
    <w:abstractNumId w:val="15"/>
  </w:num>
  <w:num w:numId="19">
    <w:abstractNumId w:val="10"/>
  </w:num>
  <w:num w:numId="20">
    <w:abstractNumId w:val="8"/>
  </w:num>
  <w:num w:numId="21">
    <w:abstractNumId w:val="12"/>
  </w:num>
  <w:num w:numId="22">
    <w:abstractNumId w:val="11"/>
  </w:num>
  <w:num w:numId="23">
    <w:abstractNumId w:val="3"/>
  </w:num>
  <w:num w:numId="24">
    <w:abstractNumId w:val="7"/>
  </w:num>
  <w:num w:numId="25">
    <w:abstractNumId w:val="4"/>
  </w:num>
  <w:num w:numId="26">
    <w:abstractNumId w:val="2"/>
  </w:num>
  <w:num w:numId="27">
    <w:abstractNumId w:val="15"/>
  </w:num>
  <w:num w:numId="28">
    <w:abstractNumId w:val="10"/>
  </w:num>
  <w:num w:numId="29">
    <w:abstractNumId w:val="8"/>
  </w:num>
  <w:num w:numId="30">
    <w:abstractNumId w:val="9"/>
  </w:num>
  <w:num w:numId="31">
    <w:abstractNumId w:val="3"/>
  </w:num>
  <w:num w:numId="32">
    <w:abstractNumId w:val="4"/>
  </w:num>
  <w:num w:numId="33">
    <w:abstractNumId w:val="13"/>
  </w:num>
  <w:num w:numId="34">
    <w:abstractNumId w:val="6"/>
  </w:num>
  <w:num w:numId="35">
    <w:abstractNumId w:val="1"/>
  </w:num>
  <w:num w:numId="36">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TrueTypeFonts/>
  <w:embedSystemFonts/>
  <w:saveSubsetFonts/>
  <w:attachedTemplate r:id="rId1"/>
  <w:stylePaneFormatFilter w:val="3F01"/>
  <w:documentProtection w:edit="forms" w:enforcement="1" w:cryptProviderType="rsaFull" w:cryptAlgorithmClass="hash" w:cryptAlgorithmType="typeAny" w:cryptAlgorithmSid="4" w:cryptSpinCount="100000" w:hash="S3WSb2fXGOOFsOluXLKf6aqZ/lM=" w:salt="EelpsuqR0Rb3e760mQxHWQ=="/>
  <w:defaultTabStop w:val="720"/>
  <w:drawingGridHorizontalSpacing w:val="57"/>
  <w:drawingGridVerticalSpacing w:val="57"/>
  <w:displayHorizontalDrawingGridEvery w:val="0"/>
  <w:doNotUseMarginsForDrawingGridOrigin/>
  <w:drawingGridHorizontalOrigin w:val="0"/>
  <w:drawingGridVerticalOrigin w:val="0"/>
  <w:noPunctuationKerning/>
  <w:characterSpacingControl w:val="doNotCompress"/>
  <w:hdrShapeDefaults>
    <o:shapedefaults v:ext="edit" spidmax="23554" style="mso-position-horizontal-relative:page;mso-position-vertical-relative:page" fillcolor="white" stroke="f">
      <v:fill color="white"/>
      <v:stroke on="f"/>
      <v:textbox inset="0,0,0,0"/>
      <o:colormru v:ext="edit" colors="#6c3,#afe494,silver,#ddd,#999,#ccc,#bde9a7,#a0a0a0"/>
      <o:colormenu v:ext="edit" strokecolor="red"/>
    </o:shapedefaults>
  </w:hdrShapeDefaults>
  <w:footnotePr>
    <w:footnote w:id="-1"/>
    <w:footnote w:id="0"/>
  </w:footnotePr>
  <w:endnotePr>
    <w:endnote w:id="-1"/>
    <w:endnote w:id="0"/>
  </w:endnotePr>
  <w:compat/>
  <w:docVars>
    <w:docVar w:name="ACTIVATED" w:val="#6c3,#afe494,silver,#ddd,#999,#ccc,#bde9a7"/>
    <w:docVar w:name="cbCustomerSize_0" w:val="w:docVa"/>
    <w:docVar w:name="cbCustomerSize_1" w:val="w:docVa"/>
    <w:docVar w:name="cbCustomerSize_2" w:val="ꍈܙ怀♠֗ꏨܙ怀脠֘ꒈܙ듍ᏀʈẂ濿ꞹㅕ䀀붚 쀀Ẃ濿ꞹㅕ붚 쀀Ẃ濿ꞹㅕ쀀붚 쀀Ẃ濿ꞹㅕ耀_x000A_붚 쀀Ẃ濿ꞹㅕ䀀붚 쀀Ẃ濿ꞹㅕ붚 쀀Ẃ濿ꞹㅕ쀀붚 쀀Ẃ濿ꞹㅕ耀_x000A_붚 쀀Ẃ濿ꞹㅕ䀀붚 쀀Ẃ濿ꞹㅕ붚 쀀Ẃ濿ꞹㅕ쀀붚 쀀Ẃ濿ꞹㅕ"/>
    <w:docVar w:name="cbCustomerSize_ListCount" w:val="x㊡丼㊸䷼㊸Ұx㊡䰜㊸Tahoma粐粐粐橎矝檇矝0£2䋴åx㊡䰜㊸\Documents and Settings\tyson\My Documents\粐2䍴åx㊡䰜㊸粐ﾰ粐粐粐濫矝4쀀賃繁黰繁 ㈑㈑翿4쀀2䏴åx㊡䰜㊸翽田&amp;㤀繁畀&amp;繁֠鑢䮩ﾰ粐縐粑縉粑绀粑㉠२2䑴å_x000A_IS`庯✀窇愀耀"/>
    <w:docVar w:name="CHKITEM" w:val="http://washburn3/dynamics/customerevidence/Projects/Careflite/deliverables/MS_CareFlite_2CS.docx"/>
    <w:docVar w:name="ColorName" w:val="cbCustomerSize_ListCo"/>
    <w:docVar w:name="ComboBox1_ListCount" w:val="暤ʋ저逸㩧曄ʋ멧)逸+멧)曤ʋ저逸㩧朄ʋ耀䀀耀朤ʋꩀ杄ʋAሬ!@ሪ!@ዊ杤ʋ@ዌ杴ʋ@ዔ#@ዖ构ʋዠAᨀ果ʋAᩬ枤ʋAᩰ@ᩮ柄ʋ@柄ʋ@⁐A⁪A⁬柤ʋ@⁒A☀@₊栄ʋ@⥸栔ʋA⥼@⥺栤ʋⴤA⴨格ʋ@⴦桄ʋAユ@ヤ桤ʋ@桤ʋA㐲@㐰@㜘梄ʋA㜜@㜚A㜠梤ʋ@㜞梴ʋA㨀@㜰棄ʋ㲨@㲦棜ʋA㲬棤ʋ@㽸A䈀椄ʋ@椄ʋ@䖀A䖄@䖂椤ʋA䨐A䨒@䦘楄ʋA䨤楔ʋ@䨢@䱐楤ʋ䱔A䵀楼ʋA䵂榄ʋ翴翴A"/>
    <w:docVar w:name="ComboBox1_ListIndex" w:val="w:docVa"/>
    <w:docVar w:name="lbColour_0_0" w:val="좴㊑쁰΁0"/>
    <w:docVar w:name="lbColour_0_1" w:val="橄ㄴ烠֘Ӡ찔㈇"/>
    <w:docVar w:name="lbColour_0_SELECTED" w:val="橄ㄴ烠֘Ӡ찔㈇È쇠΀샠΁賐 쇠΀䛀΀ލḀ"/>
    <w:docVar w:name="lbColour_1_0" w:val="#6c3,#afe494,silver,#ddd,#999,#ccc,#bde9a7"/>
    <w:docVar w:name="lbColour_1_1" w:val="_x000A_Ŭ"/>
    <w:docVar w:name="lbColour_1_SELECTED" w:val="#6c3,#afe494,silver,#ddd,#999,#ccc,#bde9a7"/>
    <w:docVar w:name="lbColour_2_0" w:val="橄ㄴ烠֘Ӡ찔㈇È쇠΀샠΁賐 쇠΀䛀΀ލḀ"/>
    <w:docVar w:name="lbColour_2_1" w:val="&lt;"/>
    <w:docVar w:name="lbColour_2_2" w:val="cbCustomerSize"/>
    <w:docVar w:name="lbColour_2_SELECTED" w:val="http://schemas.microsoft.com/sharepoint/v3/contenttype/f"/>
    <w:docVar w:name="lbColour_3_0" w:val="죬ㄨ耀倀΅䌐ÖČÌ_x000A_쿢ƯČ¿ĎÌČ¿ĎÌࠂĀ耀䀀((((＀dЉЉЉЁ＀＀＀＀_x000A_䘞9$%ÿ䤟}á腏½僀M뮛Y撀¢걋Æ雷Fÿÿá䤟}ðĀāāऀĀᏪí＀＀＀＀＀＀＀＀＀"/>
    <w:docVar w:name="lbColour_3_1" w:val="http://washburn3/dynamics/customerevidence/Projects/Careflite/deliverables/MS_CareFlite_2CS.docx"/>
    <w:docVar w:name="lbColour_3_SELECTED" w:val="http://schemas.microsoft.com/sharepoint/v3/contenttype/f"/>
    <w:docVar w:name="lbColour_4_1" w:val="http://schemas.microsoft.com/sharepoint/v3/conten"/>
    <w:docVar w:name="lbColour_5_1" w:val="http://washburn3/dynamics/customerevidence/Projects/Careflite/deliverables/MS_CareFlite_2CS.docx"/>
    <w:docVar w:name="lbList_ListIndex" w:val="http://schemas.microsoft.com/sharepoint/v3/conten"/>
    <w:docVar w:name="lbProductList_10_0" w:val="暤ʋ저逸㩧曄ʋ멧)逸+멧)曤ʋ저逸㩧朄ʋ耀䀀耀朤ʋꩀ杄ʋAሬ!@ሪ!@ዊ杤ʋ@ዌ杴ʋ@ዔ#@ዖ构ʋዠAᨀ果ʋAᩬ枤ʋAᩰ@ᩮ柄ʋ@柄ʋ@⁐A⁪A⁬柤ʋ@⁒A☀@₊栄ʋ@⥸栔ʋA⥼@⥺栤ʋⴤA⴨格ʋ@⴦桄ʋAユ@ヤ桤ʋ@桤ʋA㐲@㐰@㜘梄ʋA㜜@㜚A㜠梤ʋ@㜞梴ʋA㨀@㜰棄ʋ㲨@㲦棜ʋA㲬棤ʋ@㽸A䈀椄ʋ@椄ʋ@䖀A䖄@䖂椤ʋA䨐A䨒@䦘楄ʋA䨤楔ʋ@䨢@䱐楤ʋ䱔A䵀楼ʋA䵂榄ʋ翴翴A㉡쓤΅삠΀ꞹㅕⳍ쓼΅氀쀀∂㉡씄΅셀΀ꞹㅕᣍ辶+᐀&quot;씤΅߇씤΅먀΀੠ㆌ꣍挳_x000A_쀀∂㉡알΅죀΀ꞹㅕ㠀ᩦ_x000A_쀀∂㉡앤΅쥠΀앴΅㠀늹ᩦ_x000A_䀀∂㉡얄΅쨀΀ꞹㅕ㠀얜΅ᩦ_x000A_쀀∂㉡얤΅쀀΀ꞹㅕ㠀늹ᩦ_x000A_엄΅∂㉡엄΅쪠΀ꞹㅕ㠀늹&amp;ᩦ_x000A_쀀∂㉡여΅쭀΀ꞹㅕ㠀犹'ᩦ_x000A_耀∂㉡옄΅쯠΀옔΅胍᠀_x000A_耀ᚂ오΅촠΀ꞹㅕ胍옼΅᠀_x000A_쀀ᚂ완΅췀΀ꞹㅕ胍㊹᠀_x000A_ᚂ칠΀ꞹㅕ"/>
    <w:docVar w:name="lbProductList_11_0" w:val="x㊡丼㊸䷼㊸Ұx㊡䰜㊸Tahoma粐粐粐橎矝檇矝0£2䋴åx㊡䰜㊸\Documents and Settings\tyson\My Documents\粐2䍴åx㊡䰜㊸粐ﾰ粐粐粐濫矝4쀀賃繁黰繁 ㈑㈑翿4쀀2䏴åx㊡䰜㊸翽田&amp;㤀繁畀&amp;繁֠鑢䮩ﾰ粐縐粑縉粑绀粑㉠२2䑴å_x000A_IS`庯✀窇愀耀2⏴ӥx㊡䰜㊸2⑴ӥࠀ庯"/>
    <w:docVar w:name="lbProductList_13_0" w:val="栜ㄴӠ샠΁Ӥင뺘㈇Ɇ`Ѐܲܲ"/>
    <w:docVar w:name="lbProductList_17_0" w:val="&lt;呠呠"/>
    <w:docVar w:name="lbProductList_2_0" w:val="栜ㄴӠ샠΁Ӥင뺘㈇Ɇ`Ѐܲܲ.openxmlformats.org/officeDocument/2006/relationships/"/>
    <w:docVar w:name="lbProductList_20_0" w:val="&lt;呠呠&lt;"/>
    <w:docVar w:name="lbProductList_23_0" w:val="#6c3,#afe494,silver,#ddd,#999,#ccc,#bde9a7"/>
    <w:docVar w:name="lbProductList_26_0" w:val="application/vnd.openxmlformats-officedocument.wordprocessingml.webSettings+xml"/>
    <w:docVar w:name="lbProductList_27_0" w:val="#6c3,#afe494,silver,#ddd,#999,#ccc,#bde9a7"/>
    <w:docVar w:name="lbProductList_34_0" w:val="application/vnd.openxmlformats-officedocument.wordprocessingml.webSettings+xml"/>
    <w:docVar w:name="lbProductList_35_0" w:val="http://washburn3/dynamics/customerevidence/Projects/Careflite/deliverables/MS_CareFlite_2CS.docx"/>
    <w:docVar w:name="lbProductList_36_0" w:val="_x000A_耀耀耀耀᫁ݱ䄂֗᪑ݱ䄂֗᮱ݱ䄂֗ᳩݱ䄂֗Ჹݱ䄂֗Სݱ䄂֗捀֘䄂֗릠ݱ䄂֗릠ݱ䄂֗捀֘䄂֗릈ݱ䄂֗륀ݱ䄂֗륰ݱ䄂֗捠֘䄂֗掀֘䄂֗류ݱ䄂֗㭰֗Ă֗␨ݱ䄂ܲ⏸ݱ䄂ܲ╈ݱ䄂ܲ┘ݱ䄂ܲⓨݱ䄂ܲ╠ݱ䄂ܲ▐ݱ䄂ܲᢰݱ䄂ܲᡨݱ䄂ܲ"/>
    <w:docVar w:name="lbProductList_38_0" w:val="죬ㄨ耀倀΅䌐ÖČÌ_x000A_쿢ƯČ¿ĎÌČ¿ĎÌࠂĀ耀䀀((((＀dЉЉЉЁ＀＀＀＀_x000A_䘞9$%ÿ䤟}á腏½僀M뮛Y撀¢걋Æ雷Fÿÿá䤟}ðĀāāऀĀᏪí＀＀＀＀＀＀＀＀＀딤Ӥ떄Ӥ뗤Ӥ뙄Ӥ뚤Ӥ뜄Ӥ띤Ӥ럄Ӥ려Ӥ뢄Ӥ룤Ӥ륄Ӥ릤Ӥ먄Ӥ멤Ӥ뫄Ӥ묤Ӥ뮄Ӥ믤Ӥ뱄Ӥ벤Ӥ"/>
    <w:docVar w:name="lbProductList_39_0" w:val="_x000A_耀耀耀耀᫁ݱ䄂֗᪑ݱ䄂֗᮱ݱ䄂֗ᳩݱ䄂֗Ჹݱ䄂֗Სݱ䄂֗捀֘䄂֗릠ݱ䄂֗릠ݱ䄂֗捀֘䄂֗릈ݱ䄂֗륀ݱ䄂֗륰ݱ䄂֗捠֘䄂֗掀֘䄂֗류ݱ䄂֗㭰֗Ă֗␨ݱ䄂ܲ⏸ݱ䄂ܲ╈ݱ䄂ܲ┘ݱ䄂ܲⓨݱ䄂ܲ╠ݱ䄂ܲ▐"/>
    <w:docVar w:name="lbProductList_42_0" w:val="ꍈܙ怀♠֗ꏨܙ怀脠֘ꒈܙ듍ᏀʈẂ濿ꞹㅕ䀀붚 쀀Ẃ濿ꞹㅕ붚 쀀Ẃ濿ꞹㅕ쀀붚 쀀Ẃ濿ꞹㅕ耀_x000A_붚 쀀Ẃ濿ꞹㅕ䀀붚 쀀Ẃ濿ꞹㅕ붚 쀀Ẃ濿ꞹㅕ쀀붚 쀀Ẃ濿ꞹㅕ耀_x000A_붚 쀀Ẃ濿ꞹㅕ䀀붚 쀀Ẃ濿ꞹㅕ붚 쀀Ẃ濿ꞹㅕ쀀붚 쀀Ẃ濿ꞹㅕࠀࠀࠀ♠֗ᑘᑙᑚᑬᑭᖘᖙᖚᝳ᝴᝵ដឋᥛᥜᥝᥞᥟᥠᥢᥣ᧚᧛᧜᧯᧵᧻᧿ᨀᨁᨃᨄᨅᨆᨇᨈᨉᨊᨋᨌᨍᨎᨏᨐᨑᨒᨓᨔᨕ᥸᥹᥺᥻Íāᦄ΅쮀ͿÎĂᦨ"/>
    <w:docVar w:name="lbProductList_43_0" w:val="_x000A_耀耀耀耀᫁ݱ䄂֗᪑ݱ䄂֗᮱ݱ䄂֗ᳩݱ䄂֗Ჹݱ䄂֗Სݱ䄂֗捀֘䄂֗릠ݱ䄂֗릠ݱ䄂֗捀֘䄂֗릈ݱ䄂֗륀ݱ䄂֗륰ݱ䄂֗捠֘䄂֗掀֘䄂֗류ݱ䄂֗㭰֗Ă֗␨ݱ䄂ܲ⏸ݱ䄂ܲ╈ݱ䄂ܲ┘ݱ䄂ܲⓨݱ䄂ܲ╠ݱ䄂ܲ▐ݱ䄂ܲᢰݱ䄂ܲᡨݱ䄂ܲ"/>
    <w:docVar w:name="lbProductList_48_0" w:val="_x000A_耀耀耀耀᫁ݱ䄂֗᪑ݱ䄂֗᮱ݱ䄂֗ᳩݱ䄂֗Ჹݱ䄂֗Სݱ䄂֗捀֘䄂֗릠ݱ䄂֗릠ݱ䄂֗捀֘䄂֗릈ݱ䄂֗륀ݱ䄂֗륰ݱ䄂֗捠֘䄂֗掀֘䄂֗류ݱ䄂֗㭰֗Ă֗␨ݱ䄂ܲ⏸ݱ䄂ܲ╈ݱ䄂ܲ┘ݱ䄂ܲⓨݱ䄂ܲ╠ݱ䄂ܲ▐ݱ䄂ܲᢰݱ䄂ܲᡨݱ䄂ܲ"/>
    <w:docVar w:name="lbProductList_49_0" w:val="　߇蠀٦䌐Ö耀ȲȲˤˤˤ ЉЉervices.ansportကӛကӛ㯬әƐ怒ͽᩦ_x000A_馚♦驀à㷴ә䑸쀀톈٦㠀ᩦ_x000A_㠀ᩦ_x000A_꣍㠀ᩦ_x000A_馚♦驠àꜗѸ쀀톈٦㹄әᩦ_x000A_㠀ᩦ_x000A_꣍㠀ᩦ_x000A_%馚♦骀àꕡи쀀㠀ᩦ_x000A_㠀㺔ә꣍㠀ᩦ_x000A_,馚♦ꕡи쀀㠀ᩦ_x000A_㠀ᩦ_x000A_꣍㠀㻤ә+馚♦ꕡи쀀㠀ᩦ_x000A_㠀ᩦ_x000A_꣍㠀ᩦ_x000A_'馚"/>
    <w:docVar w:name="lbProductList_50_0" w:val="_x000A_Ŭʌ"/>
    <w:docVar w:name="lbProductList_7_0" w:val="&lt;呠呠&lt;呠呠"/>
    <w:docVar w:name="lbProductList_ListIndex" w:val="_x000A_耀耀耀耀᫁ݱ䄂֗᪑ݱ䄂֗᮱ݱ䄂֗ᳩݱ䄂֗Ჹݱ䄂֗Სݱ䄂֗捀֘䄂֗릠ݱ䄂֗릠ݱ䄂֗捀֘䄂֗릈ݱ䄂֗륀ݱ䄂֗륰ݱ䄂֗捠֘䄂֗掀֘䄂֗류ݱ䄂֗㭰֗Ă֗␨ݱ䄂ܲ⏸ݱ䄂ܲ╈ݱ䄂ܲ┘ݱ䄂ܲⓨݱ䄂ܲ╠ݱ䄂ܲ▐ݱ䄂ܲᢰݱ䄂ܲᡨݱ䄂ܲᠸݱ䄂ܲ᠈ݱ䄂ܲ◰ݱ䄂ܲ◘ݱ"/>
    <w:docVar w:name="lbProductType_0_1" w:val="WhenComplete&amp;gt;false&amp;lt;/my:ApproveWhenComplete&amp;gt;&amp;lt;my:TimePerTaskVal xsi:nil=&quot;true&quot;&amp;gt;&amp;lt;/my:TimePerTaskVal&amp;gt;&amp;lt;my:TimePerTaskType xsi:nil=&quot;true&quot;&amp;gt;&amp;lt;/my:TimePerTaskType&amp;gt;&amp;lt;my:Voting&amp;gt;false&amp;lt;/my:Voting&amp;gt;&amp;lt;my:MetadataTriggerField&amp;gt;&amp;lt;/my:MetadataTriggerField&amp;gt;&amp;lt;my:MetadataTriggerValue&amp;gt;&amp;lt;/my:MetadataTriggerValue&amp;gt;&amp;lt;my:InitLock&amp;gt;false&amp;lt;/my:InitLock&amp;gt;&amp;lt;my:MetadataStop&amp;gt;false&amp;lt;/my:MetadataStop&amp;gt;&amp;lt;my:ItemChangeStop&amp;gt;false&amp;lt;/my:Item"/>
    <w:docVar w:name="lbProductType_0_2" w:val="lbProductList_ListInd"/>
    <w:docVar w:name="lbProductType_1_1" w:val="좴㊑쁰΁0"/>
    <w:docVar w:name="lbProductType_1_SELECTED" w:val="_x000A_耀耀耀耀᫁ݱ䄂֗᪑ݱ䄂֗᮱ݱ䄂֗ᳩݱ䄂֗Ჹݱ䄂֗Სݱ䄂֗捀֘䄂֗릠ݱ䄂֗릠ݱ䄂֗捀֘䄂֗릈ݱ䄂֗륀ݱ䄂֗륰ݱ䄂֗捠֘䄂֗掀֘䄂֗류ݱ䄂֗㭰֗Ă֗␨ݱ䄂ܲ⏸ݱ䄂ܲ╈ݱ䄂ܲ┘ݱ䄂ܲⓨݱ䄂ܲ╠ݱ䄂ܲ▐ݱ䄂ܲᢰݱ䄂ܲᡨݱ䄂ܲᠸݱ䄂ܲ᠈ݱ䄂ܲ◰ݱ䄂ܲ◘ݱ"/>
    <w:docVar w:name="lbProductType_3_1" w:val="#6c3,#afe494,silver,#ddd,#999,#ccc,#bde9a7"/>
    <w:docVar w:name="lbProductType_3_2" w:val="http://schemas.microsoft.com/sharepoint/v3/conten"/>
    <w:docVar w:name="lbProductType_4_1" w:val="http://schemas.microsoft.com/sharepoint/v3/contenttype/f"/>
    <w:docVar w:name="lbProductType_5_1" w:val="http://schemas.microsoft.com/sharepoint/v3/contenttype/forms"/>
    <w:docVar w:name="lbProductType_9_1" w:val="&lt;呠呠&lt;呠呠"/>
    <w:docVar w:name="lbProductType_9_2" w:val="&lt;呠呠&lt;呠呠呠"/>
    <w:docVar w:name="lbProductType_ListCount" w:val="恔àĶਸ਼䌶댆乸Ö悤àŀ惴à慄à憔à懤à戴à抄à拔à挤à捴à揄à搔à摤à撴à攄à敔à斤à旴à晄à暔à曤à朴à构à柔à栤à桴à棄à椔à楤à榴à樄à橔à恀檤àࠀ뀀 ¡倀΅傐Ö櫴à＀＀歄àࠀ殔à恀뀀ࠀ毤à¡¢倀΅傌Ö水à＀沄àࠀ泔à恀䩦_x000A_ࠀ퓐洤à¢£倀΅傴Ö＀＀浴à淄àࠀ渔à밀恀⶚℠퉦 湤à£¤倀΅傸Ö＀＀溴à漄àࠀ潔à᠀恀¤¥澤à΅傰Ö＀＀濴à耀灄à炔à恀¤¥倀΅烤à傰Ö＀＀焴à耀熄à燔à恀¤¥倀΅爤à傰Ö＀＀牴à耀狄à猔à獤à玴à琄à瑔à璤à"/>
    <w:docVar w:name="lbTaxi1_1_1" w:val="恔àĶਸ਼䌶댆乸Ö悤àŀ惴à慄à憔à懤à戴à抄à拔à挤à捴à揄à搔à摤à撴à攄à敔à斤à旴à晄à暔à曤à朴à构à柔à栤à桴à棄à椔à楤à榴à樄à橔à恀檤àࠀ뀀 ¡倀΅傐Ö櫴à＀＀歄àࠀ殔à恀뀀ࠀ毤à¡¢倀΅傌Ö水à＀沄àࠀ泔à恀䩦_x000A_ࠀ퓐洤à¢£倀΅傴Ö＀＀浴à淄àࠀ渔à밀恀⶚℠퉦 湤à£¤倀΅傸Ö＀＀溴à漄àࠀ潔à᠀恀¤¥澤à΅傰Ö＀＀濴à耀灄à炔à恀¤¥倀΅烤à傰Ö＀＀焴à耀熄à燔à恀¤¥倀΅爤à傰Ö＀＀牴à耀狄à猔à獤à玴à琄à瑔à璤à"/>
    <w:docVar w:name="lbTaxi1_2_0" w:val="x㊡丼㊸䷼㊸Ұx㊡䰜㊸Tahoma粐粐粐橎矝檇矝0£2䋴åx㊡䰜㊸\Documents and Settings\tyson\My Documents\粐2䍴åx㊡䰜㊸粐ﾰ粐粐粐濫矝4쀀賃繁黰繁 ㈑㈑翿4쀀2䏴åx㊡䰜㊸翽田&amp;㤀繁畀&amp;繁֠鑢䮩ﾰ粐縐粑縉粑绀粑㉠२2䑴å_x000A_IS`庯✀窇愀耀2⏴ӥx㊡䰜㊸2⑴ӥࠀ庯㈑㈑翿4쀀2䏴åx㊡䰜㊸翽田&amp;㤀繁畀&amp;繁֠鑢䮩ﾰ粐縐粑縉粑绀粑㉠२2䑴å_x000A_IS`庯✀窇愀耀"/>
    <w:docVar w:name="lbTaxi1_3_1" w:val="_x000A_耀耀耀耀᫁ݱ䄂֗᪑ݱ䄂֗᮱ݱ䄂֗ᳩݱ䄂֗Ჹݱ䄂֗Სݱ䄂֗捀֘䄂֗릠ݱ䄂֗릠ݱ䄂֗捀֘䄂֗릈ݱ䄂֗륀ݱ䄂֗륰ݱ䄂֗捠֘䄂֗掀֘䄂֗류ݱ䄂֗㭰֗Ă֗␨ݱ䄂ܲ⏸ݱ䄂ܲ╈ݱ䄂ܲ┘ݱ䄂ܲⓨݱ䄂ܲ╠ݱ䄂ܲ▐"/>
    <w:docVar w:name="lbTaxi1_6_1" w:val="栜ㄴӠ샠΁Ӥင뺘㈇Ɇ`Ѐܲܲ.openxmlformats.org/officeDocument/2006/relationships/"/>
    <w:docVar w:name="lbTaxi1_7_1" w:val="栜ㄴӠ샠΁Ӥင뺘㈇Ɇ`Ѐܲܲ.openxmlformats.org/officeDocument/2006/relationships/styles"/>
    <w:docVar w:name="lbTaxi2_ListIndex" w:val="&lt;呠呠&lt;呠呠呠"/>
    <w:docVar w:name="lbTaxi3_ListIndex" w:val="&lt;呠呠&lt;呠呠呠"/>
    <w:docVar w:name="lbTaxi4_ListIndex" w:val="http://schemas.microsoft.com/sharepoint/v3/conten"/>
    <w:docVar w:name="tbDocumentFirstPara" w:val="_x000A_耀耀耀耀᫁ݱ䄂֗᪑ݱ䄂֗᮱ݱ䄂֗ᳩݱ䄂֗Ჹݱ䄂֗Სݱ䄂֗捀֘䄂֗릠ݱ䄂֗릠ݱ䄂֗捀֘䄂֗릈ݱ䄂֗륀ݱ䄂֗륰ݱ䄂֗捠֘䄂֗掀֘䄂֗류ݱ䄂֗㭰֗Ă֗␨ݱ䄂ܲ⏸ݱ䄂ܲ╈ݱ䄂ܲ┘ݱ䄂ܲⓨݱ䄂ܲ╠ݱ䄂ܲ▐"/>
    <w:docVar w:name="tbProductBoilerplateTitle" w:val="application/vnd.openxmlformats-officedocument.wordprocessingml.webSettings+xmll"/>
  </w:docVars>
  <w:rsids>
    <w:rsidRoot w:val="00331EAD"/>
    <w:rsid w:val="00001E4F"/>
    <w:rsid w:val="00004ED9"/>
    <w:rsid w:val="00013642"/>
    <w:rsid w:val="000140CE"/>
    <w:rsid w:val="000141D2"/>
    <w:rsid w:val="0001553F"/>
    <w:rsid w:val="00017AF1"/>
    <w:rsid w:val="00031364"/>
    <w:rsid w:val="00040BFC"/>
    <w:rsid w:val="00045A39"/>
    <w:rsid w:val="000538C0"/>
    <w:rsid w:val="000550BA"/>
    <w:rsid w:val="0006755D"/>
    <w:rsid w:val="00070A43"/>
    <w:rsid w:val="00070C53"/>
    <w:rsid w:val="0007107C"/>
    <w:rsid w:val="000713E7"/>
    <w:rsid w:val="0008164C"/>
    <w:rsid w:val="0009113E"/>
    <w:rsid w:val="00095F60"/>
    <w:rsid w:val="00096E59"/>
    <w:rsid w:val="000A170D"/>
    <w:rsid w:val="000A2A76"/>
    <w:rsid w:val="000B3415"/>
    <w:rsid w:val="000C024E"/>
    <w:rsid w:val="000C381B"/>
    <w:rsid w:val="000C3EEB"/>
    <w:rsid w:val="000C71C1"/>
    <w:rsid w:val="000D2755"/>
    <w:rsid w:val="000F4C5B"/>
    <w:rsid w:val="00106010"/>
    <w:rsid w:val="00113B22"/>
    <w:rsid w:val="00134F39"/>
    <w:rsid w:val="001374EC"/>
    <w:rsid w:val="001542C0"/>
    <w:rsid w:val="0016332D"/>
    <w:rsid w:val="00164F03"/>
    <w:rsid w:val="001712F1"/>
    <w:rsid w:val="0017294A"/>
    <w:rsid w:val="00173D52"/>
    <w:rsid w:val="0018348D"/>
    <w:rsid w:val="001868BC"/>
    <w:rsid w:val="00195A63"/>
    <w:rsid w:val="00197A6D"/>
    <w:rsid w:val="001B425C"/>
    <w:rsid w:val="001B4BFA"/>
    <w:rsid w:val="001D0A90"/>
    <w:rsid w:val="001E06AD"/>
    <w:rsid w:val="001E138A"/>
    <w:rsid w:val="001E4547"/>
    <w:rsid w:val="001E63C2"/>
    <w:rsid w:val="001F57ED"/>
    <w:rsid w:val="001F5C5D"/>
    <w:rsid w:val="00206078"/>
    <w:rsid w:val="002115AD"/>
    <w:rsid w:val="0022078C"/>
    <w:rsid w:val="00227ED0"/>
    <w:rsid w:val="002333A9"/>
    <w:rsid w:val="002347C3"/>
    <w:rsid w:val="00234D5E"/>
    <w:rsid w:val="0023576B"/>
    <w:rsid w:val="00236FFC"/>
    <w:rsid w:val="00244AA3"/>
    <w:rsid w:val="00250C8E"/>
    <w:rsid w:val="002536A4"/>
    <w:rsid w:val="002676B1"/>
    <w:rsid w:val="00271555"/>
    <w:rsid w:val="002729C9"/>
    <w:rsid w:val="0027342F"/>
    <w:rsid w:val="0027787F"/>
    <w:rsid w:val="00280910"/>
    <w:rsid w:val="00296F94"/>
    <w:rsid w:val="002A2896"/>
    <w:rsid w:val="002A7C9E"/>
    <w:rsid w:val="002B6406"/>
    <w:rsid w:val="002C2C24"/>
    <w:rsid w:val="002C3F83"/>
    <w:rsid w:val="002E3234"/>
    <w:rsid w:val="002F2052"/>
    <w:rsid w:val="002F2235"/>
    <w:rsid w:val="002F4A63"/>
    <w:rsid w:val="002F4FEB"/>
    <w:rsid w:val="002F564A"/>
    <w:rsid w:val="002F6A47"/>
    <w:rsid w:val="002F7C83"/>
    <w:rsid w:val="003069F8"/>
    <w:rsid w:val="00310D56"/>
    <w:rsid w:val="00314641"/>
    <w:rsid w:val="00314780"/>
    <w:rsid w:val="00331EAD"/>
    <w:rsid w:val="003358CE"/>
    <w:rsid w:val="003408F0"/>
    <w:rsid w:val="003446CB"/>
    <w:rsid w:val="0035001B"/>
    <w:rsid w:val="0035106E"/>
    <w:rsid w:val="00354E0F"/>
    <w:rsid w:val="00356838"/>
    <w:rsid w:val="00366A19"/>
    <w:rsid w:val="00366D92"/>
    <w:rsid w:val="0038734C"/>
    <w:rsid w:val="003876C8"/>
    <w:rsid w:val="00387E23"/>
    <w:rsid w:val="00387EBE"/>
    <w:rsid w:val="00390193"/>
    <w:rsid w:val="0039461E"/>
    <w:rsid w:val="003950E9"/>
    <w:rsid w:val="003965E8"/>
    <w:rsid w:val="00396960"/>
    <w:rsid w:val="003A73A8"/>
    <w:rsid w:val="003B0BD5"/>
    <w:rsid w:val="003B5C80"/>
    <w:rsid w:val="003D2D61"/>
    <w:rsid w:val="003D5E91"/>
    <w:rsid w:val="003D5ECB"/>
    <w:rsid w:val="003D7224"/>
    <w:rsid w:val="003E3941"/>
    <w:rsid w:val="003E75E4"/>
    <w:rsid w:val="003F1750"/>
    <w:rsid w:val="003F414A"/>
    <w:rsid w:val="00403BE5"/>
    <w:rsid w:val="00410367"/>
    <w:rsid w:val="00410B75"/>
    <w:rsid w:val="004110C0"/>
    <w:rsid w:val="004168ED"/>
    <w:rsid w:val="00417AE2"/>
    <w:rsid w:val="00417E92"/>
    <w:rsid w:val="00421EC8"/>
    <w:rsid w:val="0042235A"/>
    <w:rsid w:val="00430E1D"/>
    <w:rsid w:val="004348DB"/>
    <w:rsid w:val="004371F2"/>
    <w:rsid w:val="00456C5F"/>
    <w:rsid w:val="00464757"/>
    <w:rsid w:val="00467188"/>
    <w:rsid w:val="004708DD"/>
    <w:rsid w:val="004771F6"/>
    <w:rsid w:val="004806E4"/>
    <w:rsid w:val="004A139B"/>
    <w:rsid w:val="004A1E64"/>
    <w:rsid w:val="004A23AF"/>
    <w:rsid w:val="004B4BDD"/>
    <w:rsid w:val="004C02E1"/>
    <w:rsid w:val="004C04D4"/>
    <w:rsid w:val="004C4F54"/>
    <w:rsid w:val="004E1B65"/>
    <w:rsid w:val="004E6117"/>
    <w:rsid w:val="00501257"/>
    <w:rsid w:val="005024D1"/>
    <w:rsid w:val="00531BCA"/>
    <w:rsid w:val="0054284F"/>
    <w:rsid w:val="00544D54"/>
    <w:rsid w:val="00554AEF"/>
    <w:rsid w:val="00556E5A"/>
    <w:rsid w:val="0056051A"/>
    <w:rsid w:val="005639D3"/>
    <w:rsid w:val="00572F16"/>
    <w:rsid w:val="0058159D"/>
    <w:rsid w:val="00583F51"/>
    <w:rsid w:val="00591D27"/>
    <w:rsid w:val="005939D6"/>
    <w:rsid w:val="0059588D"/>
    <w:rsid w:val="00596028"/>
    <w:rsid w:val="005B1760"/>
    <w:rsid w:val="005C20A8"/>
    <w:rsid w:val="005C336D"/>
    <w:rsid w:val="00601843"/>
    <w:rsid w:val="006479AC"/>
    <w:rsid w:val="0065114C"/>
    <w:rsid w:val="00656A7A"/>
    <w:rsid w:val="00657930"/>
    <w:rsid w:val="00684110"/>
    <w:rsid w:val="00687EBC"/>
    <w:rsid w:val="006A2EF0"/>
    <w:rsid w:val="006A4285"/>
    <w:rsid w:val="006A5A72"/>
    <w:rsid w:val="006A7EB7"/>
    <w:rsid w:val="006B1F91"/>
    <w:rsid w:val="006B4716"/>
    <w:rsid w:val="006B5174"/>
    <w:rsid w:val="006D450A"/>
    <w:rsid w:val="006E1FF6"/>
    <w:rsid w:val="006E344B"/>
    <w:rsid w:val="006E48C2"/>
    <w:rsid w:val="006E5F15"/>
    <w:rsid w:val="006E6EFB"/>
    <w:rsid w:val="006F35CE"/>
    <w:rsid w:val="006F74AC"/>
    <w:rsid w:val="00713E88"/>
    <w:rsid w:val="007154C9"/>
    <w:rsid w:val="00716859"/>
    <w:rsid w:val="007203F8"/>
    <w:rsid w:val="007332D9"/>
    <w:rsid w:val="00733E35"/>
    <w:rsid w:val="00734F87"/>
    <w:rsid w:val="00745DE3"/>
    <w:rsid w:val="00752EB4"/>
    <w:rsid w:val="00753480"/>
    <w:rsid w:val="0076167D"/>
    <w:rsid w:val="00766D3C"/>
    <w:rsid w:val="00781614"/>
    <w:rsid w:val="00783F2C"/>
    <w:rsid w:val="0078546F"/>
    <w:rsid w:val="007870EF"/>
    <w:rsid w:val="0078790B"/>
    <w:rsid w:val="0079349C"/>
    <w:rsid w:val="007A77D8"/>
    <w:rsid w:val="007B008F"/>
    <w:rsid w:val="007B0CD7"/>
    <w:rsid w:val="007B198F"/>
    <w:rsid w:val="007D1DCF"/>
    <w:rsid w:val="007D6D49"/>
    <w:rsid w:val="007E2038"/>
    <w:rsid w:val="007E7417"/>
    <w:rsid w:val="007F5170"/>
    <w:rsid w:val="007F7EC4"/>
    <w:rsid w:val="008046E3"/>
    <w:rsid w:val="00804E01"/>
    <w:rsid w:val="008258C1"/>
    <w:rsid w:val="00827923"/>
    <w:rsid w:val="0083178D"/>
    <w:rsid w:val="0084111C"/>
    <w:rsid w:val="0085591F"/>
    <w:rsid w:val="00866E6F"/>
    <w:rsid w:val="0088276A"/>
    <w:rsid w:val="008840C7"/>
    <w:rsid w:val="008840D6"/>
    <w:rsid w:val="00884AB8"/>
    <w:rsid w:val="00886544"/>
    <w:rsid w:val="00897647"/>
    <w:rsid w:val="008A081E"/>
    <w:rsid w:val="008B5D81"/>
    <w:rsid w:val="008B70E7"/>
    <w:rsid w:val="008C0428"/>
    <w:rsid w:val="008D204D"/>
    <w:rsid w:val="008D3D1F"/>
    <w:rsid w:val="008E6C12"/>
    <w:rsid w:val="008F0DFC"/>
    <w:rsid w:val="008F4959"/>
    <w:rsid w:val="008F608C"/>
    <w:rsid w:val="008F70C5"/>
    <w:rsid w:val="00900BA0"/>
    <w:rsid w:val="00901825"/>
    <w:rsid w:val="009122D5"/>
    <w:rsid w:val="00937979"/>
    <w:rsid w:val="00937FC7"/>
    <w:rsid w:val="00943510"/>
    <w:rsid w:val="009572DC"/>
    <w:rsid w:val="0095750A"/>
    <w:rsid w:val="00960727"/>
    <w:rsid w:val="00961B99"/>
    <w:rsid w:val="00980338"/>
    <w:rsid w:val="009A016A"/>
    <w:rsid w:val="009A37A8"/>
    <w:rsid w:val="009C4115"/>
    <w:rsid w:val="009C4155"/>
    <w:rsid w:val="009D5860"/>
    <w:rsid w:val="009E7F3E"/>
    <w:rsid w:val="009F4255"/>
    <w:rsid w:val="00A016BF"/>
    <w:rsid w:val="00A0337F"/>
    <w:rsid w:val="00A0472A"/>
    <w:rsid w:val="00A05278"/>
    <w:rsid w:val="00A07D44"/>
    <w:rsid w:val="00A12971"/>
    <w:rsid w:val="00A12B41"/>
    <w:rsid w:val="00A1780E"/>
    <w:rsid w:val="00A2124F"/>
    <w:rsid w:val="00A31E75"/>
    <w:rsid w:val="00A37F86"/>
    <w:rsid w:val="00A845AF"/>
    <w:rsid w:val="00A907EE"/>
    <w:rsid w:val="00A94CBC"/>
    <w:rsid w:val="00A967B8"/>
    <w:rsid w:val="00AA22FF"/>
    <w:rsid w:val="00AA397E"/>
    <w:rsid w:val="00AA578C"/>
    <w:rsid w:val="00AB0077"/>
    <w:rsid w:val="00AD11AA"/>
    <w:rsid w:val="00AD6944"/>
    <w:rsid w:val="00AE5FCE"/>
    <w:rsid w:val="00AF1B00"/>
    <w:rsid w:val="00AF2CFD"/>
    <w:rsid w:val="00AF32E0"/>
    <w:rsid w:val="00AF4287"/>
    <w:rsid w:val="00B17618"/>
    <w:rsid w:val="00B2076B"/>
    <w:rsid w:val="00B45EAB"/>
    <w:rsid w:val="00B60D40"/>
    <w:rsid w:val="00B73C3F"/>
    <w:rsid w:val="00B833E7"/>
    <w:rsid w:val="00B83673"/>
    <w:rsid w:val="00B8467E"/>
    <w:rsid w:val="00B85DC8"/>
    <w:rsid w:val="00B874EA"/>
    <w:rsid w:val="00BA0C8E"/>
    <w:rsid w:val="00BA646F"/>
    <w:rsid w:val="00BB3182"/>
    <w:rsid w:val="00BC6694"/>
    <w:rsid w:val="00BD3976"/>
    <w:rsid w:val="00BE234B"/>
    <w:rsid w:val="00BE6D62"/>
    <w:rsid w:val="00BF38E8"/>
    <w:rsid w:val="00C1505F"/>
    <w:rsid w:val="00C15E2E"/>
    <w:rsid w:val="00C24533"/>
    <w:rsid w:val="00C44431"/>
    <w:rsid w:val="00C44E63"/>
    <w:rsid w:val="00C47DE3"/>
    <w:rsid w:val="00C51F7C"/>
    <w:rsid w:val="00C55370"/>
    <w:rsid w:val="00C5634E"/>
    <w:rsid w:val="00C60AB6"/>
    <w:rsid w:val="00C7662F"/>
    <w:rsid w:val="00C76FD1"/>
    <w:rsid w:val="00C933B3"/>
    <w:rsid w:val="00CB323A"/>
    <w:rsid w:val="00CC32FA"/>
    <w:rsid w:val="00CC632B"/>
    <w:rsid w:val="00CC7882"/>
    <w:rsid w:val="00CD77AC"/>
    <w:rsid w:val="00CE24C8"/>
    <w:rsid w:val="00CE3826"/>
    <w:rsid w:val="00D01D12"/>
    <w:rsid w:val="00D07222"/>
    <w:rsid w:val="00D11868"/>
    <w:rsid w:val="00D14C24"/>
    <w:rsid w:val="00D16000"/>
    <w:rsid w:val="00D17463"/>
    <w:rsid w:val="00D23303"/>
    <w:rsid w:val="00D235A3"/>
    <w:rsid w:val="00D2525C"/>
    <w:rsid w:val="00D4118A"/>
    <w:rsid w:val="00D52023"/>
    <w:rsid w:val="00D602EC"/>
    <w:rsid w:val="00D94464"/>
    <w:rsid w:val="00DA3675"/>
    <w:rsid w:val="00DC47C2"/>
    <w:rsid w:val="00DD69AC"/>
    <w:rsid w:val="00DF12FE"/>
    <w:rsid w:val="00DF6CA2"/>
    <w:rsid w:val="00DF775B"/>
    <w:rsid w:val="00E05362"/>
    <w:rsid w:val="00E063C8"/>
    <w:rsid w:val="00E27CA1"/>
    <w:rsid w:val="00E301CF"/>
    <w:rsid w:val="00E40D66"/>
    <w:rsid w:val="00E41633"/>
    <w:rsid w:val="00E44D2D"/>
    <w:rsid w:val="00E458CB"/>
    <w:rsid w:val="00E47A82"/>
    <w:rsid w:val="00E74DB8"/>
    <w:rsid w:val="00E84772"/>
    <w:rsid w:val="00E86EBD"/>
    <w:rsid w:val="00E90AB9"/>
    <w:rsid w:val="00E95178"/>
    <w:rsid w:val="00EC2CFC"/>
    <w:rsid w:val="00ED075A"/>
    <w:rsid w:val="00ED13EA"/>
    <w:rsid w:val="00ED51A2"/>
    <w:rsid w:val="00EE6C18"/>
    <w:rsid w:val="00F01DA5"/>
    <w:rsid w:val="00F06AB5"/>
    <w:rsid w:val="00F1037C"/>
    <w:rsid w:val="00F319F9"/>
    <w:rsid w:val="00F36B2C"/>
    <w:rsid w:val="00F50FAD"/>
    <w:rsid w:val="00F5713C"/>
    <w:rsid w:val="00F604B2"/>
    <w:rsid w:val="00F71257"/>
    <w:rsid w:val="00F714C9"/>
    <w:rsid w:val="00F954DB"/>
    <w:rsid w:val="00FA0494"/>
    <w:rsid w:val="00FA463D"/>
    <w:rsid w:val="00FC5C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style="mso-position-horizontal-relative:page;mso-position-vertical-relative:page" fillcolor="white" stroke="f">
      <v:fill color="white"/>
      <v:stroke on="f"/>
      <v:textbox inset="0,0,0,0"/>
      <o:colormru v:ext="edit" colors="#6c3,#afe494,silver,#ddd,#999,#ccc,#bde9a7,#a0a0a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ED0"/>
    <w:rPr>
      <w:rFonts w:ascii="Segoe UI" w:hAnsi="Segoe UI" w:cs="Segoe UI"/>
      <w:sz w:val="17"/>
      <w:szCs w:val="24"/>
      <w:lang w:val="en-GB" w:eastAsia="en-US"/>
    </w:rPr>
  </w:style>
  <w:style w:type="paragraph" w:styleId="Heading1">
    <w:name w:val="heading 1"/>
    <w:basedOn w:val="Normal"/>
    <w:next w:val="Normal"/>
    <w:qFormat/>
    <w:rsid w:val="00227ED0"/>
    <w:pPr>
      <w:keepNext/>
      <w:spacing w:before="240" w:after="60"/>
      <w:jc w:val="both"/>
      <w:outlineLvl w:val="0"/>
    </w:pPr>
    <w:rPr>
      <w:b/>
      <w:kern w:val="28"/>
      <w:sz w:val="28"/>
      <w:szCs w:val="20"/>
      <w:lang w:bidi="he-IL"/>
    </w:rPr>
  </w:style>
  <w:style w:type="paragraph" w:styleId="Heading2">
    <w:name w:val="heading 2"/>
    <w:basedOn w:val="Heading1"/>
    <w:next w:val="Normal"/>
    <w:qFormat/>
    <w:rsid w:val="00227ED0"/>
    <w:pPr>
      <w:tabs>
        <w:tab w:val="num" w:pos="1440"/>
      </w:tabs>
      <w:spacing w:after="240"/>
      <w:ind w:left="1440" w:hanging="720"/>
      <w:jc w:val="left"/>
      <w:outlineLvl w:val="1"/>
    </w:pPr>
    <w:rPr>
      <w:kern w:val="0"/>
      <w:sz w:val="26"/>
    </w:rPr>
  </w:style>
  <w:style w:type="paragraph" w:styleId="Heading3">
    <w:name w:val="heading 3"/>
    <w:basedOn w:val="Normal"/>
    <w:next w:val="Normal"/>
    <w:qFormat/>
    <w:rsid w:val="00227ED0"/>
    <w:pPr>
      <w:keepNext/>
      <w:numPr>
        <w:ilvl w:val="2"/>
        <w:numId w:val="27"/>
      </w:numPr>
      <w:spacing w:before="240" w:after="60"/>
      <w:outlineLvl w:val="2"/>
    </w:pPr>
    <w:rPr>
      <w:sz w:val="24"/>
      <w:szCs w:val="20"/>
      <w:lang w:bidi="he-IL"/>
    </w:rPr>
  </w:style>
  <w:style w:type="paragraph" w:styleId="Heading4">
    <w:name w:val="heading 4"/>
    <w:basedOn w:val="Normal"/>
    <w:next w:val="Normal"/>
    <w:qFormat/>
    <w:rsid w:val="00227ED0"/>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227ED0"/>
    <w:pPr>
      <w:ind w:left="1134"/>
    </w:pPr>
    <w:rPr>
      <w:sz w:val="20"/>
    </w:rPr>
  </w:style>
  <w:style w:type="paragraph" w:styleId="Footer">
    <w:name w:val="footer"/>
    <w:basedOn w:val="Normal"/>
    <w:rsid w:val="00227ED0"/>
    <w:pPr>
      <w:tabs>
        <w:tab w:val="center" w:pos="4153"/>
        <w:tab w:val="right" w:pos="8306"/>
      </w:tabs>
    </w:pPr>
  </w:style>
  <w:style w:type="paragraph" w:styleId="Header">
    <w:name w:val="header"/>
    <w:basedOn w:val="Normal"/>
    <w:rsid w:val="00227ED0"/>
    <w:pPr>
      <w:tabs>
        <w:tab w:val="center" w:pos="4153"/>
        <w:tab w:val="right" w:pos="8306"/>
      </w:tabs>
      <w:jc w:val="both"/>
    </w:pPr>
    <w:rPr>
      <w:sz w:val="16"/>
      <w:szCs w:val="20"/>
      <w:lang w:bidi="he-IL"/>
    </w:rPr>
  </w:style>
  <w:style w:type="paragraph" w:styleId="EnvelopeReturn">
    <w:name w:val="envelope return"/>
    <w:basedOn w:val="Normal"/>
    <w:rsid w:val="00227ED0"/>
    <w:rPr>
      <w:i/>
      <w:sz w:val="48"/>
      <w:szCs w:val="48"/>
    </w:rPr>
  </w:style>
  <w:style w:type="paragraph" w:styleId="CommentText">
    <w:name w:val="annotation text"/>
    <w:basedOn w:val="Normal"/>
    <w:link w:val="CommentTextChar"/>
    <w:semiHidden/>
    <w:rsid w:val="00227ED0"/>
    <w:rPr>
      <w:sz w:val="24"/>
    </w:rPr>
  </w:style>
  <w:style w:type="paragraph" w:customStyle="1" w:styleId="Answer">
    <w:name w:val="Answer"/>
    <w:basedOn w:val="Normal"/>
    <w:next w:val="Question"/>
    <w:rsid w:val="00227ED0"/>
    <w:pPr>
      <w:numPr>
        <w:numId w:val="21"/>
      </w:numPr>
    </w:pPr>
    <w:rPr>
      <w:i/>
    </w:rPr>
  </w:style>
  <w:style w:type="paragraph" w:customStyle="1" w:styleId="Question">
    <w:name w:val="Question"/>
    <w:basedOn w:val="Normal"/>
    <w:next w:val="Answer"/>
    <w:rsid w:val="00227ED0"/>
    <w:pPr>
      <w:numPr>
        <w:numId w:val="28"/>
      </w:numPr>
    </w:pPr>
  </w:style>
  <w:style w:type="paragraph" w:customStyle="1" w:styleId="Bodycopy">
    <w:name w:val="Body copy"/>
    <w:basedOn w:val="Normal"/>
    <w:rsid w:val="002F2052"/>
    <w:pPr>
      <w:spacing w:line="240" w:lineRule="exact"/>
    </w:pPr>
    <w:rPr>
      <w:color w:val="323232"/>
      <w:lang w:val="en-US"/>
    </w:rPr>
  </w:style>
  <w:style w:type="paragraph" w:customStyle="1" w:styleId="SectionHeading">
    <w:name w:val="Section Heading"/>
    <w:basedOn w:val="ColoredText"/>
    <w:next w:val="Bodycopy"/>
    <w:rsid w:val="00227ED0"/>
    <w:pPr>
      <w:keepNext/>
    </w:pPr>
    <w:rPr>
      <w:sz w:val="24"/>
    </w:rPr>
  </w:style>
  <w:style w:type="paragraph" w:customStyle="1" w:styleId="Subject">
    <w:name w:val="Subject"/>
    <w:basedOn w:val="Normal"/>
    <w:rsid w:val="00227ED0"/>
    <w:pPr>
      <w:jc w:val="center"/>
    </w:pPr>
    <w:rPr>
      <w:b/>
      <w:sz w:val="32"/>
      <w:u w:val="single"/>
    </w:rPr>
  </w:style>
  <w:style w:type="paragraph" w:styleId="PlainText">
    <w:name w:val="Plain Text"/>
    <w:basedOn w:val="Normal"/>
    <w:rsid w:val="00227ED0"/>
    <w:rPr>
      <w:sz w:val="22"/>
    </w:rPr>
  </w:style>
  <w:style w:type="paragraph" w:customStyle="1" w:styleId="MergedAnswer">
    <w:name w:val="MergedAnswer"/>
    <w:basedOn w:val="Normal"/>
    <w:rsid w:val="00227ED0"/>
  </w:style>
  <w:style w:type="paragraph" w:styleId="TOC2">
    <w:name w:val="toc 2"/>
    <w:basedOn w:val="Normal"/>
    <w:next w:val="Normal"/>
    <w:autoRedefine/>
    <w:semiHidden/>
    <w:rsid w:val="00227ED0"/>
    <w:pPr>
      <w:widowControl w:val="0"/>
      <w:numPr>
        <w:numId w:val="29"/>
      </w:numPr>
      <w:tabs>
        <w:tab w:val="left" w:pos="851"/>
        <w:tab w:val="right" w:pos="8335"/>
      </w:tabs>
    </w:pPr>
    <w:rPr>
      <w:rFonts w:eastAsia="PMingLiU"/>
      <w:kern w:val="2"/>
      <w:sz w:val="40"/>
      <w:lang w:val="en-US" w:eastAsia="zh-TW"/>
    </w:rPr>
  </w:style>
  <w:style w:type="paragraph" w:customStyle="1" w:styleId="StandFirstIntroduction">
    <w:name w:val="Stand First Introduction"/>
    <w:basedOn w:val="Normal"/>
    <w:rsid w:val="00227ED0"/>
    <w:pPr>
      <w:spacing w:line="360" w:lineRule="exact"/>
    </w:pPr>
    <w:rPr>
      <w:color w:val="323232"/>
      <w:sz w:val="24"/>
    </w:rPr>
  </w:style>
  <w:style w:type="paragraph" w:customStyle="1" w:styleId="PartnerName">
    <w:name w:val="Partner Name"/>
    <w:basedOn w:val="ColoredText"/>
    <w:rsid w:val="00227ED0"/>
    <w:pPr>
      <w:spacing w:after="10" w:line="240" w:lineRule="auto"/>
    </w:pPr>
    <w:rPr>
      <w:bCs/>
      <w:sz w:val="32"/>
    </w:rPr>
  </w:style>
  <w:style w:type="paragraph" w:customStyle="1" w:styleId="WHITEPAPER">
    <w:name w:val="WHITE PAPER"/>
    <w:basedOn w:val="ColoredText"/>
    <w:rsid w:val="00227ED0"/>
    <w:pPr>
      <w:spacing w:before="100" w:line="240" w:lineRule="auto"/>
      <w:jc w:val="right"/>
    </w:pPr>
    <w:rPr>
      <w:sz w:val="14"/>
    </w:rPr>
  </w:style>
  <w:style w:type="paragraph" w:customStyle="1" w:styleId="Tabletextheading">
    <w:name w:val="Table text heading"/>
    <w:basedOn w:val="Normal"/>
    <w:next w:val="Tabletext"/>
    <w:rsid w:val="00227ED0"/>
    <w:pPr>
      <w:spacing w:before="40" w:after="20"/>
    </w:pPr>
    <w:rPr>
      <w:b/>
      <w:bCs/>
      <w:color w:val="323232"/>
    </w:rPr>
  </w:style>
  <w:style w:type="paragraph" w:customStyle="1" w:styleId="Bullet">
    <w:name w:val="Bullet"/>
    <w:basedOn w:val="Bulletcolored"/>
    <w:rsid w:val="002F2052"/>
    <w:pPr>
      <w:numPr>
        <w:numId w:val="31"/>
      </w:numPr>
    </w:pPr>
    <w:rPr>
      <w:sz w:val="17"/>
    </w:rPr>
  </w:style>
  <w:style w:type="paragraph" w:customStyle="1" w:styleId="Bodycopyheading">
    <w:name w:val="Body copy heading"/>
    <w:basedOn w:val="Bodycopy"/>
    <w:next w:val="Bodycopy"/>
    <w:rsid w:val="00227ED0"/>
    <w:rPr>
      <w:b/>
      <w:szCs w:val="17"/>
    </w:rPr>
  </w:style>
  <w:style w:type="paragraph" w:customStyle="1" w:styleId="Disclaimer">
    <w:name w:val="Disclaimer"/>
    <w:basedOn w:val="Bodycopy"/>
    <w:rsid w:val="00227ED0"/>
    <w:pPr>
      <w:spacing w:line="120" w:lineRule="exact"/>
    </w:pPr>
    <w:rPr>
      <w:sz w:val="12"/>
    </w:rPr>
  </w:style>
  <w:style w:type="paragraph" w:customStyle="1" w:styleId="Pullquote">
    <w:name w:val="Pull quote"/>
    <w:basedOn w:val="ColoredText"/>
    <w:rsid w:val="00227ED0"/>
    <w:pPr>
      <w:spacing w:line="400" w:lineRule="exact"/>
    </w:pPr>
    <w:rPr>
      <w:sz w:val="28"/>
    </w:rPr>
  </w:style>
  <w:style w:type="paragraph" w:customStyle="1" w:styleId="Diagramcaption">
    <w:name w:val="Diagram caption"/>
    <w:basedOn w:val="ColoredText"/>
    <w:rsid w:val="00227ED0"/>
    <w:rPr>
      <w:sz w:val="19"/>
    </w:rPr>
  </w:style>
  <w:style w:type="paragraph" w:styleId="TOC1">
    <w:name w:val="toc 1"/>
    <w:basedOn w:val="Normal"/>
    <w:next w:val="Normal"/>
    <w:semiHidden/>
    <w:rsid w:val="00227ED0"/>
    <w:pPr>
      <w:tabs>
        <w:tab w:val="right" w:pos="3289"/>
      </w:tabs>
      <w:spacing w:line="360" w:lineRule="exact"/>
    </w:pPr>
    <w:rPr>
      <w:noProof/>
      <w:color w:val="FFFFFF"/>
      <w:sz w:val="24"/>
    </w:rPr>
  </w:style>
  <w:style w:type="paragraph" w:styleId="TOC3">
    <w:name w:val="toc 3"/>
    <w:basedOn w:val="Normal"/>
    <w:next w:val="Normal"/>
    <w:autoRedefine/>
    <w:semiHidden/>
    <w:rsid w:val="00227ED0"/>
    <w:pPr>
      <w:ind w:left="440"/>
    </w:pPr>
  </w:style>
  <w:style w:type="paragraph" w:styleId="TOC4">
    <w:name w:val="toc 4"/>
    <w:basedOn w:val="Normal"/>
    <w:next w:val="Normal"/>
    <w:autoRedefine/>
    <w:semiHidden/>
    <w:rsid w:val="00227ED0"/>
    <w:pPr>
      <w:ind w:left="660"/>
    </w:pPr>
  </w:style>
  <w:style w:type="paragraph" w:styleId="TOC5">
    <w:name w:val="toc 5"/>
    <w:basedOn w:val="Normal"/>
    <w:next w:val="Normal"/>
    <w:autoRedefine/>
    <w:semiHidden/>
    <w:rsid w:val="00227ED0"/>
    <w:pPr>
      <w:ind w:left="880"/>
    </w:pPr>
  </w:style>
  <w:style w:type="paragraph" w:styleId="TOC6">
    <w:name w:val="toc 6"/>
    <w:basedOn w:val="Normal"/>
    <w:next w:val="Normal"/>
    <w:autoRedefine/>
    <w:semiHidden/>
    <w:rsid w:val="00227ED0"/>
    <w:pPr>
      <w:ind w:left="1100"/>
    </w:pPr>
  </w:style>
  <w:style w:type="paragraph" w:styleId="TOC7">
    <w:name w:val="toc 7"/>
    <w:basedOn w:val="Normal"/>
    <w:next w:val="Normal"/>
    <w:autoRedefine/>
    <w:semiHidden/>
    <w:rsid w:val="00227ED0"/>
    <w:pPr>
      <w:ind w:left="1320"/>
    </w:pPr>
  </w:style>
  <w:style w:type="paragraph" w:styleId="TOC8">
    <w:name w:val="toc 8"/>
    <w:basedOn w:val="Normal"/>
    <w:next w:val="Normal"/>
    <w:autoRedefine/>
    <w:semiHidden/>
    <w:rsid w:val="00227ED0"/>
    <w:pPr>
      <w:ind w:left="1540"/>
    </w:pPr>
  </w:style>
  <w:style w:type="paragraph" w:styleId="TOC9">
    <w:name w:val="toc 9"/>
    <w:basedOn w:val="Normal"/>
    <w:next w:val="Normal"/>
    <w:autoRedefine/>
    <w:semiHidden/>
    <w:rsid w:val="00227ED0"/>
    <w:pPr>
      <w:ind w:left="1760"/>
    </w:pPr>
  </w:style>
  <w:style w:type="character" w:styleId="Hyperlink">
    <w:name w:val="Hyperlink"/>
    <w:basedOn w:val="DefaultParagraphFont"/>
    <w:rsid w:val="00227ED0"/>
    <w:rPr>
      <w:color w:val="209FC8"/>
      <w:u w:val="single"/>
    </w:rPr>
  </w:style>
  <w:style w:type="paragraph" w:customStyle="1" w:styleId="AutoCorrect">
    <w:name w:val="AutoCorrect"/>
    <w:rsid w:val="00227ED0"/>
    <w:rPr>
      <w:rFonts w:ascii="Segoe UI" w:hAnsi="Segoe UI" w:cs="Segoe UI"/>
      <w:lang w:val="en-GB" w:eastAsia="en-US" w:bidi="he-IL"/>
    </w:rPr>
  </w:style>
  <w:style w:type="paragraph" w:styleId="BodyText">
    <w:name w:val="Body Text"/>
    <w:basedOn w:val="Normal"/>
    <w:rsid w:val="00227ED0"/>
    <w:pPr>
      <w:spacing w:after="120"/>
    </w:pPr>
    <w:rPr>
      <w:snapToGrid w:val="0"/>
      <w:sz w:val="20"/>
      <w:szCs w:val="20"/>
      <w:lang w:val="en-US" w:bidi="he-IL"/>
    </w:rPr>
  </w:style>
  <w:style w:type="paragraph" w:customStyle="1" w:styleId="Bulletcolored">
    <w:name w:val="Bullet colored"/>
    <w:basedOn w:val="Normal"/>
    <w:rsid w:val="00D4118A"/>
    <w:pPr>
      <w:numPr>
        <w:numId w:val="33"/>
      </w:numPr>
      <w:spacing w:line="240" w:lineRule="exact"/>
    </w:pPr>
    <w:rPr>
      <w:color w:val="323232"/>
      <w:sz w:val="18"/>
      <w:szCs w:val="17"/>
      <w:lang w:val="en-US"/>
    </w:rPr>
  </w:style>
  <w:style w:type="paragraph" w:customStyle="1" w:styleId="ColoredText">
    <w:name w:val="Colored Text"/>
    <w:basedOn w:val="Bodycopy"/>
    <w:rsid w:val="00227ED0"/>
    <w:rPr>
      <w:color w:val="209FC8"/>
    </w:rPr>
  </w:style>
  <w:style w:type="paragraph" w:customStyle="1" w:styleId="DocumentTitle">
    <w:name w:val="Document Title"/>
    <w:basedOn w:val="ColoredText"/>
    <w:rsid w:val="00227ED0"/>
    <w:pPr>
      <w:spacing w:line="440" w:lineRule="exact"/>
    </w:pPr>
    <w:rPr>
      <w:color w:val="auto"/>
      <w:sz w:val="32"/>
    </w:rPr>
  </w:style>
  <w:style w:type="paragraph" w:customStyle="1" w:styleId="Tableheading">
    <w:name w:val="Table heading"/>
    <w:basedOn w:val="ColoredText"/>
    <w:rsid w:val="00227ED0"/>
    <w:rPr>
      <w:bCs/>
    </w:rPr>
  </w:style>
  <w:style w:type="paragraph" w:customStyle="1" w:styleId="Bulletbold">
    <w:name w:val="Bullet bold"/>
    <w:basedOn w:val="Normal"/>
    <w:rsid w:val="00D4118A"/>
    <w:pPr>
      <w:numPr>
        <w:numId w:val="30"/>
      </w:numPr>
      <w:spacing w:line="240" w:lineRule="exact"/>
    </w:pPr>
    <w:rPr>
      <w:color w:val="323232"/>
      <w:sz w:val="18"/>
    </w:rPr>
  </w:style>
  <w:style w:type="paragraph" w:customStyle="1" w:styleId="Contents">
    <w:name w:val="Contents"/>
    <w:basedOn w:val="Bodycopy"/>
    <w:rsid w:val="00227ED0"/>
    <w:pPr>
      <w:spacing w:line="480" w:lineRule="exact"/>
    </w:pPr>
    <w:rPr>
      <w:color w:val="FFFFFF"/>
      <w:sz w:val="30"/>
    </w:rPr>
  </w:style>
  <w:style w:type="character" w:styleId="PageNumber">
    <w:name w:val="page number"/>
    <w:basedOn w:val="DefaultParagraphFont"/>
    <w:rsid w:val="00227ED0"/>
    <w:rPr>
      <w:spacing w:val="20"/>
      <w:sz w:val="16"/>
    </w:rPr>
  </w:style>
  <w:style w:type="paragraph" w:customStyle="1" w:styleId="Tabletext">
    <w:name w:val="Table text"/>
    <w:basedOn w:val="Bodycopy"/>
    <w:rsid w:val="00227ED0"/>
    <w:pPr>
      <w:spacing w:after="40"/>
    </w:pPr>
  </w:style>
  <w:style w:type="paragraph" w:customStyle="1" w:styleId="OrangeText">
    <w:name w:val="Orange Text"/>
    <w:basedOn w:val="Normal"/>
    <w:rsid w:val="00227ED0"/>
    <w:pPr>
      <w:spacing w:line="240" w:lineRule="exact"/>
    </w:pPr>
    <w:rPr>
      <w:color w:val="FF3300"/>
    </w:rPr>
  </w:style>
  <w:style w:type="paragraph" w:customStyle="1" w:styleId="Casestudydescription">
    <w:name w:val="Case study description"/>
    <w:basedOn w:val="Normal"/>
    <w:rsid w:val="00227ED0"/>
    <w:rPr>
      <w:color w:val="FFFFFF"/>
      <w:sz w:val="24"/>
    </w:rPr>
  </w:style>
  <w:style w:type="paragraph" w:customStyle="1" w:styleId="PullQuotecredit">
    <w:name w:val="Pull Quote credit"/>
    <w:basedOn w:val="Pullquote"/>
    <w:rsid w:val="00227ED0"/>
    <w:pPr>
      <w:spacing w:before="120" w:line="200" w:lineRule="exact"/>
      <w:jc w:val="right"/>
    </w:pPr>
    <w:rPr>
      <w:sz w:val="17"/>
    </w:rPr>
  </w:style>
  <w:style w:type="paragraph" w:customStyle="1" w:styleId="Diagramtitle">
    <w:name w:val="Diagram title"/>
    <w:basedOn w:val="Bodycopy"/>
    <w:rsid w:val="00227ED0"/>
    <w:rPr>
      <w:color w:val="FFFFFF"/>
      <w:sz w:val="19"/>
    </w:rPr>
  </w:style>
  <w:style w:type="paragraph" w:customStyle="1" w:styleId="Bullet2">
    <w:name w:val="Bullet2"/>
    <w:basedOn w:val="Bullet"/>
    <w:rsid w:val="00227ED0"/>
    <w:pPr>
      <w:numPr>
        <w:numId w:val="0"/>
      </w:numPr>
      <w:ind w:left="170"/>
    </w:pPr>
  </w:style>
  <w:style w:type="paragraph" w:customStyle="1" w:styleId="SectionHeadingGrey">
    <w:name w:val="Section Heading Grey"/>
    <w:basedOn w:val="SectionHeading"/>
    <w:rsid w:val="00227ED0"/>
    <w:rPr>
      <w:color w:val="666666"/>
    </w:rPr>
  </w:style>
  <w:style w:type="paragraph" w:customStyle="1" w:styleId="BulletGrey">
    <w:name w:val="Bullet Grey"/>
    <w:basedOn w:val="Normal"/>
    <w:rsid w:val="00D4118A"/>
    <w:pPr>
      <w:numPr>
        <w:numId w:val="32"/>
      </w:numPr>
      <w:tabs>
        <w:tab w:val="left" w:pos="170"/>
      </w:tabs>
      <w:spacing w:line="240" w:lineRule="exact"/>
    </w:pPr>
    <w:rPr>
      <w:color w:val="323232"/>
      <w:sz w:val="18"/>
      <w:szCs w:val="17"/>
      <w:lang w:val="en-US"/>
    </w:rPr>
  </w:style>
  <w:style w:type="paragraph" w:customStyle="1" w:styleId="TableTitle">
    <w:name w:val="Table Title"/>
    <w:basedOn w:val="Tabletextheading"/>
    <w:rsid w:val="00227ED0"/>
    <w:pPr>
      <w:ind w:left="60"/>
    </w:pPr>
    <w:rPr>
      <w:color w:val="FFFFFF"/>
      <w:szCs w:val="17"/>
    </w:rPr>
  </w:style>
  <w:style w:type="paragraph" w:styleId="EnvelopeAddress">
    <w:name w:val="envelope address"/>
    <w:basedOn w:val="Normal"/>
    <w:rsid w:val="00227ED0"/>
    <w:pPr>
      <w:framePr w:w="7920" w:h="1980" w:hRule="exact" w:hSpace="180" w:wrap="auto" w:hAnchor="page" w:xAlign="center" w:yAlign="bottom"/>
      <w:ind w:left="2880"/>
    </w:pPr>
    <w:rPr>
      <w:sz w:val="24"/>
    </w:rPr>
  </w:style>
  <w:style w:type="paragraph" w:customStyle="1" w:styleId="BulletLevel2">
    <w:name w:val="Bullet Level2"/>
    <w:basedOn w:val="BulletGrey"/>
    <w:rsid w:val="002F2052"/>
    <w:pPr>
      <w:numPr>
        <w:numId w:val="26"/>
      </w:numPr>
      <w:tabs>
        <w:tab w:val="clear" w:pos="170"/>
      </w:tabs>
    </w:pPr>
    <w:rPr>
      <w:sz w:val="17"/>
    </w:rPr>
  </w:style>
  <w:style w:type="table" w:styleId="TableGrid">
    <w:name w:val="Table Grid"/>
    <w:basedOn w:val="TableNormal"/>
    <w:rsid w:val="00F1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7ED0"/>
    <w:rPr>
      <w:sz w:val="16"/>
      <w:szCs w:val="16"/>
    </w:rPr>
  </w:style>
  <w:style w:type="character" w:styleId="FollowedHyperlink">
    <w:name w:val="FollowedHyperlink"/>
    <w:basedOn w:val="DefaultParagraphFont"/>
    <w:rsid w:val="00227ED0"/>
    <w:rPr>
      <w:color w:val="800080"/>
      <w:u w:val="single"/>
    </w:rPr>
  </w:style>
  <w:style w:type="character" w:customStyle="1" w:styleId="URL">
    <w:name w:val="URL"/>
    <w:basedOn w:val="DefaultParagraphFont"/>
    <w:rsid w:val="002F2052"/>
    <w:rPr>
      <w:color w:val="209FC8"/>
      <w:u w:val="single"/>
    </w:rPr>
  </w:style>
  <w:style w:type="character" w:styleId="CommentReference">
    <w:name w:val="annotation reference"/>
    <w:basedOn w:val="DefaultParagraphFont"/>
    <w:rsid w:val="00F319F9"/>
    <w:rPr>
      <w:sz w:val="16"/>
      <w:szCs w:val="16"/>
    </w:rPr>
  </w:style>
  <w:style w:type="paragraph" w:styleId="ListParagraph">
    <w:name w:val="List Paragraph"/>
    <w:basedOn w:val="Normal"/>
    <w:uiPriority w:val="34"/>
    <w:qFormat/>
    <w:rsid w:val="001E63C2"/>
    <w:pPr>
      <w:ind w:left="720"/>
      <w:contextualSpacing/>
    </w:pPr>
    <w:rPr>
      <w:rFonts w:ascii="Arial" w:hAnsi="Arial" w:cs="Times New Roman"/>
      <w:sz w:val="20"/>
      <w:lang w:val="en-US"/>
    </w:rPr>
  </w:style>
  <w:style w:type="paragraph" w:styleId="CommentSubject">
    <w:name w:val="annotation subject"/>
    <w:basedOn w:val="CommentText"/>
    <w:next w:val="CommentText"/>
    <w:link w:val="CommentSubjectChar"/>
    <w:rsid w:val="00095F60"/>
    <w:rPr>
      <w:b/>
      <w:bCs/>
      <w:sz w:val="20"/>
      <w:szCs w:val="20"/>
    </w:rPr>
  </w:style>
  <w:style w:type="character" w:customStyle="1" w:styleId="CommentTextChar">
    <w:name w:val="Comment Text Char"/>
    <w:basedOn w:val="DefaultParagraphFont"/>
    <w:link w:val="CommentText"/>
    <w:semiHidden/>
    <w:rsid w:val="00095F60"/>
    <w:rPr>
      <w:rFonts w:ascii="Segoe UI" w:hAnsi="Segoe UI" w:cs="Segoe UI"/>
      <w:sz w:val="24"/>
      <w:szCs w:val="24"/>
      <w:lang w:val="en-GB" w:eastAsia="en-US"/>
    </w:rPr>
  </w:style>
  <w:style w:type="character" w:customStyle="1" w:styleId="CommentSubjectChar">
    <w:name w:val="Comment Subject Char"/>
    <w:basedOn w:val="CommentTextChar"/>
    <w:link w:val="CommentSubject"/>
    <w:rsid w:val="00095F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xtcorp.com/"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microsoft.com/casestudies" TargetMode="Externa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careflite.org"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etsmb.com/"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hua\Application%20Data\Microsoft\Templates\CSB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3B8C2AC207547911762CE6F73F93E" ma:contentTypeVersion="1" ma:contentTypeDescription="Create a new document." ma:contentTypeScope="" ma:versionID="76e90590e7f2a89f813db8f7cf2e6597">
  <xsd:schema xmlns:xsd="http://www.w3.org/2001/XMLSchema" xmlns:p="http://schemas.microsoft.com/office/2006/metadata/properties" targetNamespace="http://schemas.microsoft.com/office/2006/metadata/properties" ma:root="true" ma:fieldsID="b8fc5c2e90e6856449d7f6ce278442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B670C8A-133C-4D29-9530-D46ADEC1147E}"/>
</file>

<file path=customXml/itemProps2.xml><?xml version="1.0" encoding="utf-8"?>
<ds:datastoreItem xmlns:ds="http://schemas.openxmlformats.org/officeDocument/2006/customXml" ds:itemID="{FE23FD97-A1D0-452B-831A-FB24A7A3673B}"/>
</file>

<file path=customXml/itemProps3.xml><?xml version="1.0" encoding="utf-8"?>
<ds:datastoreItem xmlns:ds="http://schemas.openxmlformats.org/officeDocument/2006/customXml" ds:itemID="{20F6A829-D819-4E15-B97C-0DCC96A484B0}"/>
</file>

<file path=docProps/app.xml><?xml version="1.0" encoding="utf-8"?>
<Properties xmlns="http://schemas.openxmlformats.org/officeDocument/2006/extended-properties" xmlns:vt="http://schemas.openxmlformats.org/officeDocument/2006/docPropsVTypes">
  <Template>CSB_Template</Template>
  <TotalTime>0</TotalTime>
  <Pages>2</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Links>
    <vt:vector size="6" baseType="variant">
      <vt:variant>
        <vt:i4>5439553</vt:i4>
      </vt:variant>
      <vt:variant>
        <vt:i4>0</vt:i4>
      </vt:variant>
      <vt:variant>
        <vt:i4>0</vt:i4>
      </vt:variant>
      <vt:variant>
        <vt:i4>5</vt:i4>
      </vt:variant>
      <vt:variant>
        <vt:lpwstr>http://www.microsoft.com/casestudies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2010-04-19T19:12:00Z</dcterms:created>
  <dcterms:modified xsi:type="dcterms:W3CDTF">2010-04-19T19:12:00Z</dcterms:modified>
  <cp:category/>
  <cp:contentType/>
</cp:coreProperties>
</file>